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2381"/>
        <w:gridCol w:w="7087"/>
      </w:tblGrid>
      <w:tr w:rsidR="005028C9" w:rsidTr="00FE3F41">
        <w:trPr>
          <w:trHeight w:val="1440"/>
        </w:trPr>
        <w:tc>
          <w:tcPr>
            <w:tcW w:w="2381" w:type="dxa"/>
            <w:tcBorders>
              <w:top w:val="nil"/>
              <w:left w:val="nil"/>
              <w:bottom w:val="nil"/>
              <w:right w:val="nil"/>
            </w:tcBorders>
          </w:tcPr>
          <w:p w:rsidR="005028C9" w:rsidRDefault="005028C9" w:rsidP="00FE3F41">
            <w:pPr>
              <w:pStyle w:val="ZCom"/>
            </w:pPr>
            <w:r>
              <w:rPr>
                <w:noProof/>
                <w:sz w:val="20"/>
                <w:szCs w:val="20"/>
              </w:rPr>
              <w:drawing>
                <wp:inline distT="0" distB="0" distL="0" distR="0">
                  <wp:extent cx="1371600" cy="676275"/>
                  <wp:effectExtent l="0" t="0" r="0" b="9525"/>
                  <wp:docPr id="1" name="Picture 1" descr="C:\WINNT\Profiles\Administrator\Desktop\logo_ec_17_colors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NT\Profiles\Administrator\Desktop\logo_ec_17_colors_300dpi.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087" w:type="dxa"/>
            <w:tcBorders>
              <w:top w:val="nil"/>
              <w:left w:val="nil"/>
              <w:bottom w:val="nil"/>
              <w:right w:val="nil"/>
            </w:tcBorders>
          </w:tcPr>
          <w:p w:rsidR="005028C9" w:rsidRDefault="005028C9" w:rsidP="00FE3F41">
            <w:pPr>
              <w:pStyle w:val="ZCom"/>
              <w:spacing w:before="90"/>
            </w:pPr>
            <w:r>
              <w:t>EUROPEAN COMMISSION</w:t>
            </w:r>
          </w:p>
          <w:p w:rsidR="005028C9" w:rsidRDefault="005028C9" w:rsidP="00FE3F41">
            <w:pPr>
              <w:pStyle w:val="ZDGName"/>
            </w:pPr>
            <w:r>
              <w:t>DIRECTORATE-GENERAL FOR ENERGY</w:t>
            </w:r>
          </w:p>
          <w:p w:rsidR="005028C9" w:rsidRDefault="005028C9" w:rsidP="00FE3F41">
            <w:pPr>
              <w:pStyle w:val="ZDGName"/>
            </w:pPr>
          </w:p>
          <w:p w:rsidR="005028C9" w:rsidRDefault="005028C9" w:rsidP="00FE3F41">
            <w:pPr>
              <w:pStyle w:val="ZDGName"/>
            </w:pPr>
            <w:r>
              <w:t>Directorate C - Renewables, Research and Innovation, Energy Efficiency</w:t>
            </w:r>
          </w:p>
          <w:p w:rsidR="005028C9" w:rsidRDefault="005028C9" w:rsidP="00FE3F41">
            <w:pPr>
              <w:pStyle w:val="ZDGName"/>
            </w:pPr>
            <w:r>
              <w:rPr>
                <w:b/>
                <w:bCs/>
              </w:rPr>
              <w:t>C.3 - Energy efficiency</w:t>
            </w:r>
          </w:p>
          <w:p w:rsidR="005028C9" w:rsidRDefault="005028C9" w:rsidP="00FE3F41">
            <w:pPr>
              <w:pStyle w:val="ZDGName"/>
            </w:pPr>
          </w:p>
        </w:tc>
      </w:tr>
    </w:tbl>
    <w:p w:rsidR="006B7765" w:rsidRPr="006B7765" w:rsidRDefault="006B7765" w:rsidP="006B7765">
      <w:pPr>
        <w:spacing w:after="0" w:line="240" w:lineRule="auto"/>
        <w:jc w:val="right"/>
        <w:rPr>
          <w:rFonts w:ascii="Times New Roman" w:eastAsia="Times New Roman" w:hAnsi="Times New Roman" w:cs="Calibri"/>
          <w:bCs/>
          <w:sz w:val="24"/>
          <w:szCs w:val="24"/>
          <w:lang w:eastAsia="fr-FR"/>
        </w:rPr>
      </w:pPr>
      <w:r w:rsidRPr="006B7765">
        <w:rPr>
          <w:rFonts w:ascii="Times New Roman" w:eastAsia="Times New Roman" w:hAnsi="Times New Roman" w:cs="Calibri"/>
          <w:bCs/>
          <w:sz w:val="24"/>
          <w:szCs w:val="24"/>
          <w:lang w:eastAsia="fr-FR"/>
        </w:rPr>
        <w:t xml:space="preserve">Brussels, </w:t>
      </w:r>
      <w:r w:rsidR="005B1AED">
        <w:rPr>
          <w:rFonts w:ascii="Times New Roman" w:eastAsia="Times New Roman" w:hAnsi="Times New Roman" w:cs="Calibri"/>
          <w:bCs/>
          <w:sz w:val="24"/>
          <w:szCs w:val="24"/>
          <w:lang w:eastAsia="fr-FR"/>
        </w:rPr>
        <w:t>4</w:t>
      </w:r>
      <w:r w:rsidRPr="006B7765">
        <w:rPr>
          <w:rFonts w:ascii="Times New Roman" w:eastAsia="Times New Roman" w:hAnsi="Times New Roman" w:cs="Calibri"/>
          <w:bCs/>
          <w:sz w:val="24"/>
          <w:szCs w:val="24"/>
          <w:lang w:eastAsia="fr-FR"/>
        </w:rPr>
        <w:t xml:space="preserve"> April 2014</w:t>
      </w:r>
    </w:p>
    <w:p w:rsidR="006B7765" w:rsidRPr="006B7765" w:rsidRDefault="006B7765" w:rsidP="006B7765">
      <w:pPr>
        <w:spacing w:after="0" w:line="240" w:lineRule="auto"/>
        <w:jc w:val="center"/>
        <w:rPr>
          <w:rFonts w:ascii="Times New Roman" w:eastAsia="Times New Roman" w:hAnsi="Times New Roman" w:cs="Calibri"/>
          <w:b/>
          <w:bCs/>
          <w:sz w:val="24"/>
          <w:szCs w:val="24"/>
          <w:lang w:eastAsia="fr-FR"/>
        </w:rPr>
      </w:pPr>
    </w:p>
    <w:p w:rsidR="006B7765" w:rsidRPr="006B7765" w:rsidRDefault="006B7765" w:rsidP="006B7765">
      <w:pPr>
        <w:spacing w:after="0" w:line="240" w:lineRule="auto"/>
        <w:jc w:val="center"/>
        <w:rPr>
          <w:rFonts w:ascii="Times New Roman" w:eastAsia="Times New Roman" w:hAnsi="Times New Roman" w:cs="Calibri"/>
          <w:b/>
          <w:bCs/>
          <w:sz w:val="28"/>
          <w:szCs w:val="28"/>
          <w:lang w:eastAsia="fr-FR"/>
        </w:rPr>
      </w:pPr>
      <w:r w:rsidRPr="006B7765">
        <w:rPr>
          <w:rFonts w:ascii="Times New Roman" w:eastAsia="Times New Roman" w:hAnsi="Times New Roman" w:cs="Calibri"/>
          <w:b/>
          <w:bCs/>
          <w:sz w:val="28"/>
          <w:szCs w:val="28"/>
          <w:lang w:eastAsia="fr-FR"/>
        </w:rPr>
        <w:t>Working Document</w:t>
      </w:r>
    </w:p>
    <w:p w:rsidR="006B7765" w:rsidRPr="006B7765" w:rsidRDefault="006B7765" w:rsidP="006B7765">
      <w:pPr>
        <w:spacing w:after="0" w:line="240" w:lineRule="auto"/>
        <w:jc w:val="both"/>
        <w:rPr>
          <w:rFonts w:ascii="Times New Roman" w:eastAsia="Times New Roman" w:hAnsi="Times New Roman" w:cs="Calibri"/>
          <w:bCs/>
          <w:sz w:val="28"/>
          <w:szCs w:val="28"/>
          <w:lang w:eastAsia="fr-FR"/>
        </w:rPr>
      </w:pPr>
    </w:p>
    <w:p w:rsidR="006B7765" w:rsidRPr="006B7765" w:rsidRDefault="006B7765" w:rsidP="006B7765">
      <w:pPr>
        <w:spacing w:after="0" w:line="240" w:lineRule="auto"/>
        <w:ind w:left="993" w:hanging="993"/>
        <w:jc w:val="center"/>
        <w:rPr>
          <w:rFonts w:ascii="Times New Roman" w:eastAsia="Times New Roman" w:hAnsi="Times New Roman" w:cs="Calibri"/>
          <w:b/>
          <w:sz w:val="28"/>
          <w:szCs w:val="28"/>
          <w:lang w:eastAsia="fr-FR"/>
        </w:rPr>
      </w:pPr>
      <w:proofErr w:type="gramStart"/>
      <w:r w:rsidRPr="006B7765">
        <w:rPr>
          <w:rFonts w:ascii="Times New Roman" w:eastAsia="Times New Roman" w:hAnsi="Times New Roman" w:cs="Calibri"/>
          <w:b/>
          <w:sz w:val="28"/>
          <w:szCs w:val="28"/>
          <w:lang w:eastAsia="fr-FR"/>
        </w:rPr>
        <w:t>on</w:t>
      </w:r>
      <w:proofErr w:type="gramEnd"/>
      <w:r w:rsidRPr="006B7765">
        <w:rPr>
          <w:rFonts w:ascii="Times New Roman" w:eastAsia="Times New Roman" w:hAnsi="Times New Roman" w:cs="Calibri"/>
          <w:b/>
          <w:sz w:val="28"/>
          <w:szCs w:val="28"/>
          <w:lang w:eastAsia="fr-FR"/>
        </w:rPr>
        <w:t xml:space="preserve"> </w:t>
      </w:r>
      <w:r>
        <w:rPr>
          <w:rFonts w:ascii="Times New Roman" w:eastAsia="Times New Roman" w:hAnsi="Times New Roman" w:cs="Calibri"/>
          <w:b/>
          <w:sz w:val="28"/>
          <w:szCs w:val="28"/>
          <w:lang w:eastAsia="fr-FR"/>
        </w:rPr>
        <w:t>P</w:t>
      </w:r>
      <w:r w:rsidRPr="006B7765">
        <w:rPr>
          <w:rFonts w:ascii="Times New Roman" w:eastAsia="Times New Roman" w:hAnsi="Times New Roman" w:cs="Calibri"/>
          <w:b/>
          <w:sz w:val="28"/>
          <w:szCs w:val="28"/>
          <w:lang w:eastAsia="fr-FR"/>
        </w:rPr>
        <w:t xml:space="preserve">ower </w:t>
      </w:r>
      <w:r>
        <w:rPr>
          <w:rFonts w:ascii="Times New Roman" w:eastAsia="Times New Roman" w:hAnsi="Times New Roman" w:cs="Calibri"/>
          <w:b/>
          <w:sz w:val="28"/>
          <w:szCs w:val="28"/>
          <w:lang w:eastAsia="fr-FR"/>
        </w:rPr>
        <w:t>g</w:t>
      </w:r>
      <w:r w:rsidRPr="006B7765">
        <w:rPr>
          <w:rFonts w:ascii="Times New Roman" w:eastAsia="Times New Roman" w:hAnsi="Times New Roman" w:cs="Calibri"/>
          <w:b/>
          <w:sz w:val="28"/>
          <w:szCs w:val="28"/>
          <w:lang w:eastAsia="fr-FR"/>
        </w:rPr>
        <w:t xml:space="preserve">enerating </w:t>
      </w:r>
      <w:r>
        <w:rPr>
          <w:rFonts w:ascii="Times New Roman" w:eastAsia="Times New Roman" w:hAnsi="Times New Roman" w:cs="Calibri"/>
          <w:b/>
          <w:sz w:val="28"/>
          <w:szCs w:val="28"/>
          <w:lang w:eastAsia="fr-FR"/>
        </w:rPr>
        <w:t>e</w:t>
      </w:r>
      <w:r w:rsidRPr="006B7765">
        <w:rPr>
          <w:rFonts w:ascii="Times New Roman" w:eastAsia="Times New Roman" w:hAnsi="Times New Roman" w:cs="Calibri"/>
          <w:b/>
          <w:sz w:val="28"/>
          <w:szCs w:val="28"/>
          <w:lang w:eastAsia="fr-FR"/>
        </w:rPr>
        <w:t xml:space="preserve">quipment </w:t>
      </w:r>
      <w:r>
        <w:rPr>
          <w:rFonts w:ascii="Times New Roman" w:eastAsia="Times New Roman" w:hAnsi="Times New Roman" w:cs="Calibri"/>
          <w:b/>
          <w:sz w:val="28"/>
          <w:szCs w:val="28"/>
          <w:lang w:eastAsia="fr-FR"/>
        </w:rPr>
        <w:t>(</w:t>
      </w:r>
      <w:r w:rsidRPr="006B7765">
        <w:rPr>
          <w:rFonts w:ascii="Times New Roman" w:eastAsia="Times New Roman" w:hAnsi="Times New Roman" w:cs="Calibri"/>
          <w:b/>
          <w:sz w:val="28"/>
          <w:szCs w:val="28"/>
          <w:lang w:eastAsia="fr-FR"/>
        </w:rPr>
        <w:t>Lot 35</w:t>
      </w:r>
      <w:r>
        <w:rPr>
          <w:rFonts w:ascii="Times New Roman" w:eastAsia="Times New Roman" w:hAnsi="Times New Roman" w:cs="Calibri"/>
          <w:b/>
          <w:sz w:val="28"/>
          <w:szCs w:val="28"/>
          <w:lang w:eastAsia="fr-FR"/>
        </w:rPr>
        <w:t>)</w:t>
      </w:r>
      <w:r w:rsidRPr="006B7765">
        <w:rPr>
          <w:rFonts w:ascii="Times New Roman" w:eastAsia="Times New Roman" w:hAnsi="Times New Roman" w:cs="Calibri"/>
          <w:b/>
          <w:sz w:val="28"/>
          <w:szCs w:val="28"/>
          <w:lang w:eastAsia="fr-FR"/>
        </w:rPr>
        <w:t xml:space="preserve"> – </w:t>
      </w:r>
      <w:r>
        <w:rPr>
          <w:rFonts w:ascii="Times New Roman" w:eastAsia="Times New Roman" w:hAnsi="Times New Roman" w:cs="Calibri"/>
          <w:b/>
          <w:sz w:val="28"/>
          <w:szCs w:val="28"/>
          <w:lang w:eastAsia="fr-FR"/>
        </w:rPr>
        <w:t>R</w:t>
      </w:r>
      <w:r w:rsidRPr="006B7765">
        <w:rPr>
          <w:rFonts w:ascii="Times New Roman" w:eastAsia="Times New Roman" w:hAnsi="Times New Roman" w:cs="Calibri"/>
          <w:b/>
          <w:sz w:val="28"/>
          <w:szCs w:val="28"/>
          <w:lang w:eastAsia="fr-FR"/>
        </w:rPr>
        <w:t>esults from scoping study and suggested way forward</w:t>
      </w:r>
    </w:p>
    <w:p w:rsidR="006B7765" w:rsidRPr="006B7765" w:rsidRDefault="006B7765" w:rsidP="006B7765">
      <w:pPr>
        <w:spacing w:after="0" w:line="240" w:lineRule="auto"/>
        <w:jc w:val="both"/>
        <w:rPr>
          <w:rFonts w:ascii="Times New Roman" w:eastAsia="Times New Roman" w:hAnsi="Times New Roman" w:cs="Calibri"/>
          <w:b/>
          <w:sz w:val="24"/>
          <w:szCs w:val="24"/>
          <w:lang w:eastAsia="fr-FR"/>
        </w:rPr>
      </w:pPr>
    </w:p>
    <w:p w:rsidR="006B7765" w:rsidRPr="006B7765" w:rsidRDefault="006B7765" w:rsidP="006B7765">
      <w:pPr>
        <w:spacing w:after="0" w:line="240" w:lineRule="auto"/>
        <w:jc w:val="center"/>
        <w:rPr>
          <w:rFonts w:ascii="Times New Roman" w:eastAsia="Times New Roman" w:hAnsi="Times New Roman" w:cs="Calibri"/>
          <w:b/>
          <w:sz w:val="24"/>
          <w:szCs w:val="24"/>
          <w:lang w:eastAsia="fr-FR"/>
        </w:rPr>
      </w:pPr>
      <w:r w:rsidRPr="006B7765">
        <w:rPr>
          <w:rFonts w:ascii="Times New Roman" w:eastAsia="Times New Roman" w:hAnsi="Times New Roman" w:cs="Calibri"/>
          <w:b/>
          <w:sz w:val="24"/>
          <w:szCs w:val="24"/>
          <w:lang w:eastAsia="fr-FR"/>
        </w:rPr>
        <w:t>- Agenda Point 1</w:t>
      </w:r>
      <w:r>
        <w:rPr>
          <w:rFonts w:ascii="Times New Roman" w:eastAsia="Times New Roman" w:hAnsi="Times New Roman" w:cs="Calibri"/>
          <w:b/>
          <w:sz w:val="24"/>
          <w:szCs w:val="24"/>
          <w:lang w:eastAsia="fr-FR"/>
        </w:rPr>
        <w:t>1</w:t>
      </w:r>
      <w:r w:rsidRPr="006B7765">
        <w:rPr>
          <w:rFonts w:ascii="Times New Roman" w:eastAsia="Times New Roman" w:hAnsi="Times New Roman" w:cs="Calibri"/>
          <w:b/>
          <w:sz w:val="24"/>
          <w:szCs w:val="24"/>
          <w:lang w:eastAsia="fr-FR"/>
        </w:rPr>
        <w:t xml:space="preserve"> –</w:t>
      </w:r>
    </w:p>
    <w:p w:rsidR="006B7765" w:rsidRPr="006B7765" w:rsidRDefault="006B7765" w:rsidP="006B7765">
      <w:pPr>
        <w:jc w:val="both"/>
        <w:rPr>
          <w:rFonts w:ascii="Arial" w:eastAsia="Calibri" w:hAnsi="Arial" w:cs="Arial"/>
          <w:b/>
          <w:sz w:val="24"/>
          <w:szCs w:val="24"/>
        </w:rPr>
      </w:pPr>
    </w:p>
    <w:p w:rsidR="006B7765" w:rsidRPr="006B7765" w:rsidRDefault="006B7765" w:rsidP="006B7765">
      <w:pPr>
        <w:jc w:val="both"/>
        <w:rPr>
          <w:rFonts w:ascii="Times New Roman" w:eastAsia="Calibri" w:hAnsi="Times New Roman" w:cs="Times New Roman"/>
          <w:i/>
          <w:sz w:val="24"/>
          <w:szCs w:val="24"/>
          <w:lang w:val="en-US"/>
        </w:rPr>
      </w:pPr>
      <w:r w:rsidRPr="006B7765">
        <w:rPr>
          <w:rFonts w:ascii="Times New Roman" w:eastAsia="Calibri" w:hAnsi="Times New Roman" w:cs="Times New Roman"/>
          <w:i/>
          <w:sz w:val="24"/>
          <w:szCs w:val="24"/>
          <w:lang w:val="en-US"/>
        </w:rPr>
        <w:t>This Working Document will be discussed with the Members of the Ecodesign Consultation Forum at the meeting of 5 May 2014 (agenda point 1</w:t>
      </w:r>
      <w:r>
        <w:rPr>
          <w:rFonts w:ascii="Times New Roman" w:eastAsia="Calibri" w:hAnsi="Times New Roman" w:cs="Times New Roman"/>
          <w:i/>
          <w:sz w:val="24"/>
          <w:szCs w:val="24"/>
          <w:lang w:val="en-US"/>
        </w:rPr>
        <w:t>1</w:t>
      </w:r>
      <w:r w:rsidRPr="006B7765">
        <w:rPr>
          <w:rFonts w:ascii="Times New Roman" w:eastAsia="Calibri" w:hAnsi="Times New Roman" w:cs="Times New Roman"/>
          <w:i/>
          <w:sz w:val="24"/>
          <w:szCs w:val="24"/>
          <w:lang w:val="en-US"/>
        </w:rPr>
        <w:t>).</w:t>
      </w:r>
    </w:p>
    <w:p w:rsidR="006B7765" w:rsidRDefault="006B7765" w:rsidP="003802A2">
      <w:pPr>
        <w:jc w:val="both"/>
        <w:rPr>
          <w:rFonts w:ascii="Times New Roman" w:hAnsi="Times New Roman" w:cs="Times New Roman"/>
          <w:sz w:val="24"/>
          <w:szCs w:val="24"/>
          <w:lang w:val="en-US"/>
        </w:rPr>
      </w:pPr>
    </w:p>
    <w:p w:rsidR="003802A2" w:rsidRPr="006B7765" w:rsidRDefault="003802A2" w:rsidP="003802A2">
      <w:pPr>
        <w:jc w:val="both"/>
        <w:rPr>
          <w:rFonts w:ascii="Times New Roman" w:hAnsi="Times New Roman" w:cs="Times New Roman"/>
          <w:sz w:val="24"/>
          <w:szCs w:val="24"/>
          <w:lang w:val="en-US"/>
        </w:rPr>
      </w:pPr>
      <w:r w:rsidRPr="006B7765">
        <w:rPr>
          <w:rFonts w:ascii="Times New Roman" w:hAnsi="Times New Roman" w:cs="Times New Roman"/>
          <w:sz w:val="24"/>
          <w:szCs w:val="24"/>
          <w:lang w:val="en-US"/>
        </w:rPr>
        <w:t xml:space="preserve">In the Ecodesign Working Plan 2012-2014 the Commission announced the launch of a specific study assessing the potential of power generating equipment under 50MW in order to investigate the opportunity of establishing ecodesign and energy labelling requirements for this product group. The study funded by the Commission </w:t>
      </w:r>
      <w:r w:rsidR="007E1F13" w:rsidRPr="006B7765">
        <w:rPr>
          <w:rFonts w:ascii="Times New Roman" w:hAnsi="Times New Roman" w:cs="Times New Roman"/>
          <w:sz w:val="24"/>
          <w:szCs w:val="24"/>
          <w:lang w:val="en-US"/>
        </w:rPr>
        <w:t>in preparation of</w:t>
      </w:r>
      <w:r w:rsidRPr="006B7765">
        <w:rPr>
          <w:rFonts w:ascii="Times New Roman" w:hAnsi="Times New Roman" w:cs="Times New Roman"/>
          <w:sz w:val="24"/>
          <w:szCs w:val="24"/>
          <w:lang w:val="en-US"/>
        </w:rPr>
        <w:t xml:space="preserve"> the Work Plan had not assessed the energy savings potential of this product sector (with the exception of the subsector of mobile power generating sets) and there were indications that the savings potential might be substantial.</w:t>
      </w:r>
    </w:p>
    <w:p w:rsidR="003802A2" w:rsidRPr="006B7765" w:rsidRDefault="003802A2" w:rsidP="003802A2">
      <w:pPr>
        <w:jc w:val="both"/>
        <w:rPr>
          <w:rFonts w:ascii="Times New Roman" w:hAnsi="Times New Roman" w:cs="Times New Roman"/>
          <w:sz w:val="24"/>
          <w:szCs w:val="24"/>
          <w:lang w:val="en-US"/>
        </w:rPr>
      </w:pPr>
      <w:r w:rsidRPr="006B7765">
        <w:rPr>
          <w:rFonts w:ascii="Times New Roman" w:hAnsi="Times New Roman" w:cs="Times New Roman"/>
          <w:sz w:val="24"/>
          <w:szCs w:val="24"/>
          <w:lang w:val="en-US"/>
        </w:rPr>
        <w:t xml:space="preserve">The scoping study for power generating equipment under 50MW was undertaken by </w:t>
      </w:r>
      <w:proofErr w:type="spellStart"/>
      <w:r w:rsidRPr="006B7765">
        <w:rPr>
          <w:rFonts w:ascii="Times New Roman" w:hAnsi="Times New Roman" w:cs="Times New Roman"/>
          <w:sz w:val="24"/>
          <w:szCs w:val="24"/>
          <w:lang w:val="en-US"/>
        </w:rPr>
        <w:t>Viegand</w:t>
      </w:r>
      <w:proofErr w:type="spellEnd"/>
      <w:r w:rsidRPr="006B7765">
        <w:rPr>
          <w:rFonts w:ascii="Times New Roman" w:hAnsi="Times New Roman" w:cs="Times New Roman"/>
          <w:sz w:val="24"/>
          <w:szCs w:val="24"/>
          <w:lang w:val="en-US"/>
        </w:rPr>
        <w:t xml:space="preserve"> </w:t>
      </w:r>
      <w:proofErr w:type="spellStart"/>
      <w:r w:rsidRPr="006B7765">
        <w:rPr>
          <w:rFonts w:ascii="Times New Roman" w:hAnsi="Times New Roman" w:cs="Times New Roman"/>
          <w:sz w:val="24"/>
          <w:szCs w:val="24"/>
          <w:lang w:val="en-US"/>
        </w:rPr>
        <w:t>Maagøe</w:t>
      </w:r>
      <w:proofErr w:type="spellEnd"/>
      <w:r w:rsidRPr="006B7765">
        <w:rPr>
          <w:rFonts w:ascii="Times New Roman" w:hAnsi="Times New Roman" w:cs="Times New Roman"/>
          <w:sz w:val="24"/>
          <w:szCs w:val="24"/>
          <w:lang w:val="en-US"/>
        </w:rPr>
        <w:t xml:space="preserve"> in collaboration with VITO</w:t>
      </w:r>
      <w:r w:rsidR="005C1A42" w:rsidRPr="006B7765">
        <w:rPr>
          <w:rFonts w:ascii="Times New Roman" w:hAnsi="Times New Roman" w:cs="Times New Roman"/>
          <w:sz w:val="24"/>
          <w:szCs w:val="24"/>
          <w:lang w:val="en-US"/>
        </w:rPr>
        <w:t xml:space="preserve"> from July </w:t>
      </w:r>
      <w:r w:rsidRPr="006B7765">
        <w:rPr>
          <w:rFonts w:ascii="Times New Roman" w:hAnsi="Times New Roman" w:cs="Times New Roman"/>
          <w:sz w:val="24"/>
          <w:szCs w:val="24"/>
          <w:lang w:val="en-US"/>
        </w:rPr>
        <w:t>2013 to March 2014 on the basis of desk research and consultation of experts and stakeholders.</w:t>
      </w:r>
      <w:r w:rsidR="003D2DC5" w:rsidRPr="006B7765">
        <w:rPr>
          <w:rFonts w:ascii="Times New Roman" w:hAnsi="Times New Roman" w:cs="Times New Roman"/>
          <w:sz w:val="24"/>
          <w:szCs w:val="24"/>
          <w:lang w:val="en-US"/>
        </w:rPr>
        <w:t xml:space="preserve"> The results in terms of savings potential are </w:t>
      </w:r>
      <w:r w:rsidR="002A5E84" w:rsidRPr="006B7765">
        <w:rPr>
          <w:rFonts w:ascii="Times New Roman" w:hAnsi="Times New Roman" w:cs="Times New Roman"/>
          <w:sz w:val="24"/>
          <w:szCs w:val="24"/>
          <w:lang w:val="en-US"/>
        </w:rPr>
        <w:t>set out</w:t>
      </w:r>
      <w:r w:rsidR="003D2DC5" w:rsidRPr="006B7765">
        <w:rPr>
          <w:rFonts w:ascii="Times New Roman" w:hAnsi="Times New Roman" w:cs="Times New Roman"/>
          <w:sz w:val="24"/>
          <w:szCs w:val="24"/>
          <w:lang w:val="en-US"/>
        </w:rPr>
        <w:t xml:space="preserve"> in the table below and compared with the energy ranking of the study </w:t>
      </w:r>
      <w:r w:rsidR="002A5E84" w:rsidRPr="006B7765">
        <w:rPr>
          <w:rFonts w:ascii="Times New Roman" w:hAnsi="Times New Roman" w:cs="Times New Roman"/>
          <w:sz w:val="24"/>
          <w:szCs w:val="24"/>
          <w:lang w:val="en-US"/>
        </w:rPr>
        <w:t xml:space="preserve">done </w:t>
      </w:r>
      <w:r w:rsidR="003D2DC5" w:rsidRPr="006B7765">
        <w:rPr>
          <w:rFonts w:ascii="Times New Roman" w:hAnsi="Times New Roman" w:cs="Times New Roman"/>
          <w:sz w:val="24"/>
          <w:szCs w:val="24"/>
          <w:lang w:val="en-US"/>
        </w:rPr>
        <w:t>for the Working Plan.</w:t>
      </w:r>
    </w:p>
    <w:tbl>
      <w:tblPr>
        <w:tblStyle w:val="TableGrid"/>
        <w:tblW w:w="0" w:type="auto"/>
        <w:tblLook w:val="04A0" w:firstRow="1" w:lastRow="0" w:firstColumn="1" w:lastColumn="0" w:noHBand="0" w:noVBand="1"/>
      </w:tblPr>
      <w:tblGrid>
        <w:gridCol w:w="2748"/>
        <w:gridCol w:w="3000"/>
        <w:gridCol w:w="3540"/>
      </w:tblGrid>
      <w:tr w:rsidR="000624F8" w:rsidRPr="006B7765" w:rsidTr="003D2DC5">
        <w:trPr>
          <w:cnfStyle w:val="100000000000" w:firstRow="1" w:lastRow="0" w:firstColumn="0" w:lastColumn="0" w:oddVBand="0" w:evenVBand="0" w:oddHBand="0" w:evenHBand="0" w:firstRowFirstColumn="0" w:firstRowLastColumn="0" w:lastRowFirstColumn="0" w:lastRowLastColumn="0"/>
        </w:trPr>
        <w:tc>
          <w:tcPr>
            <w:tcW w:w="2748" w:type="dxa"/>
            <w:shd w:val="clear" w:color="auto" w:fill="auto"/>
          </w:tcPr>
          <w:p w:rsidR="000624F8" w:rsidRPr="006B7765" w:rsidRDefault="009D241A">
            <w:pPr>
              <w:rPr>
                <w:rFonts w:ascii="Times New Roman" w:hAnsi="Times New Roman"/>
                <w:sz w:val="24"/>
                <w:szCs w:val="24"/>
              </w:rPr>
            </w:pPr>
            <w:r w:rsidRPr="006B7765">
              <w:rPr>
                <w:rFonts w:ascii="Times New Roman" w:hAnsi="Times New Roman"/>
                <w:sz w:val="24"/>
                <w:szCs w:val="24"/>
                <w:lang w:val="en-GB"/>
              </w:rPr>
              <w:t>Product</w:t>
            </w:r>
            <w:r w:rsidR="000624F8" w:rsidRPr="006B7765">
              <w:rPr>
                <w:rFonts w:ascii="Times New Roman" w:hAnsi="Times New Roman"/>
                <w:sz w:val="24"/>
                <w:szCs w:val="24"/>
                <w:lang w:val="en-GB"/>
              </w:rPr>
              <w:t xml:space="preserve"> group</w:t>
            </w:r>
          </w:p>
        </w:tc>
        <w:tc>
          <w:tcPr>
            <w:tcW w:w="3000" w:type="dxa"/>
            <w:shd w:val="clear" w:color="auto" w:fill="auto"/>
          </w:tcPr>
          <w:p w:rsidR="000624F8" w:rsidRPr="006B7765" w:rsidRDefault="000624F8">
            <w:pPr>
              <w:rPr>
                <w:rFonts w:ascii="Times New Roman" w:hAnsi="Times New Roman"/>
                <w:sz w:val="24"/>
                <w:szCs w:val="24"/>
              </w:rPr>
            </w:pPr>
            <w:r w:rsidRPr="006B7765">
              <w:rPr>
                <w:rFonts w:ascii="Times New Roman" w:hAnsi="Times New Roman"/>
                <w:sz w:val="24"/>
                <w:szCs w:val="24"/>
              </w:rPr>
              <w:t>Yearly energy savings</w:t>
            </w:r>
            <w:r w:rsidR="006D1AD2" w:rsidRPr="006B7765">
              <w:rPr>
                <w:rFonts w:ascii="Times New Roman" w:hAnsi="Times New Roman"/>
                <w:sz w:val="24"/>
                <w:szCs w:val="24"/>
              </w:rPr>
              <w:t xml:space="preserve"> potential</w:t>
            </w:r>
            <w:r w:rsidRPr="006B7765">
              <w:rPr>
                <w:rFonts w:ascii="Times New Roman" w:hAnsi="Times New Roman"/>
                <w:sz w:val="24"/>
                <w:szCs w:val="24"/>
              </w:rPr>
              <w:t>* by 2030 (</w:t>
            </w:r>
            <w:proofErr w:type="spellStart"/>
            <w:r w:rsidRPr="006B7765">
              <w:rPr>
                <w:rFonts w:ascii="Times New Roman" w:hAnsi="Times New Roman"/>
                <w:sz w:val="24"/>
                <w:szCs w:val="24"/>
              </w:rPr>
              <w:t>TWh</w:t>
            </w:r>
            <w:proofErr w:type="spellEnd"/>
            <w:r w:rsidRPr="006B7765">
              <w:rPr>
                <w:rFonts w:ascii="Times New Roman" w:hAnsi="Times New Roman"/>
                <w:sz w:val="24"/>
                <w:szCs w:val="24"/>
              </w:rPr>
              <w:t>)</w:t>
            </w:r>
          </w:p>
        </w:tc>
        <w:tc>
          <w:tcPr>
            <w:tcW w:w="3540" w:type="dxa"/>
            <w:shd w:val="clear" w:color="auto" w:fill="auto"/>
          </w:tcPr>
          <w:p w:rsidR="000624F8" w:rsidRPr="006B7765" w:rsidRDefault="00AB3615" w:rsidP="002A5E84">
            <w:pPr>
              <w:rPr>
                <w:rFonts w:ascii="Times New Roman" w:hAnsi="Times New Roman"/>
                <w:sz w:val="24"/>
                <w:szCs w:val="24"/>
              </w:rPr>
            </w:pPr>
            <w:r w:rsidRPr="006B7765">
              <w:rPr>
                <w:rFonts w:ascii="Times New Roman" w:hAnsi="Times New Roman"/>
                <w:sz w:val="24"/>
                <w:szCs w:val="24"/>
              </w:rPr>
              <w:t xml:space="preserve">Energy ranking in 2011 study for </w:t>
            </w:r>
            <w:r w:rsidR="002A5E84" w:rsidRPr="006B7765">
              <w:rPr>
                <w:rFonts w:ascii="Times New Roman" w:hAnsi="Times New Roman"/>
                <w:sz w:val="24"/>
                <w:szCs w:val="24"/>
              </w:rPr>
              <w:t>E</w:t>
            </w:r>
            <w:r w:rsidRPr="006B7765">
              <w:rPr>
                <w:rFonts w:ascii="Times New Roman" w:hAnsi="Times New Roman"/>
                <w:sz w:val="24"/>
                <w:szCs w:val="24"/>
              </w:rPr>
              <w:t xml:space="preserve">codesign </w:t>
            </w:r>
            <w:r w:rsidR="002A5E84" w:rsidRPr="006B7765">
              <w:rPr>
                <w:rFonts w:ascii="Times New Roman" w:hAnsi="Times New Roman"/>
                <w:sz w:val="24"/>
                <w:szCs w:val="24"/>
              </w:rPr>
              <w:t>W</w:t>
            </w:r>
            <w:r w:rsidRPr="006B7765">
              <w:rPr>
                <w:rFonts w:ascii="Times New Roman" w:hAnsi="Times New Roman"/>
                <w:sz w:val="24"/>
                <w:szCs w:val="24"/>
              </w:rPr>
              <w:t>ork</w:t>
            </w:r>
            <w:r w:rsidR="002A5E84" w:rsidRPr="006B7765">
              <w:rPr>
                <w:rFonts w:ascii="Times New Roman" w:hAnsi="Times New Roman"/>
                <w:sz w:val="24"/>
                <w:szCs w:val="24"/>
              </w:rPr>
              <w:t>ing P</w:t>
            </w:r>
            <w:r w:rsidRPr="006B7765">
              <w:rPr>
                <w:rFonts w:ascii="Times New Roman" w:hAnsi="Times New Roman"/>
                <w:sz w:val="24"/>
                <w:szCs w:val="24"/>
              </w:rPr>
              <w:t xml:space="preserve">lan </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 xml:space="preserve">Wind turbines </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15.4</w:t>
            </w:r>
          </w:p>
        </w:tc>
        <w:tc>
          <w:tcPr>
            <w:tcW w:w="3540" w:type="dxa"/>
          </w:tcPr>
          <w:p w:rsidR="000624F8" w:rsidRPr="006B7765" w:rsidRDefault="00AB3615" w:rsidP="004C1B69">
            <w:pPr>
              <w:jc w:val="center"/>
              <w:rPr>
                <w:rFonts w:ascii="Times New Roman" w:hAnsi="Times New Roman"/>
                <w:sz w:val="24"/>
                <w:szCs w:val="24"/>
              </w:rPr>
            </w:pPr>
            <w:r w:rsidRPr="006B7765">
              <w:rPr>
                <w:rFonts w:ascii="Times New Roman" w:hAnsi="Times New Roman"/>
                <w:sz w:val="24"/>
                <w:szCs w:val="24"/>
              </w:rPr>
              <w:t xml:space="preserve">just above </w:t>
            </w:r>
            <w:r w:rsidRPr="006B7765">
              <w:rPr>
                <w:rFonts w:ascii="Times New Roman" w:hAnsi="Times New Roman"/>
                <w:i/>
                <w:sz w:val="24"/>
                <w:szCs w:val="24"/>
              </w:rPr>
              <w:t>servers and data storage equipment</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 xml:space="preserve">PV panels and inverters </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6.4</w:t>
            </w:r>
          </w:p>
        </w:tc>
        <w:tc>
          <w:tcPr>
            <w:tcW w:w="3540" w:type="dxa"/>
          </w:tcPr>
          <w:p w:rsidR="000624F8" w:rsidRPr="006B7765" w:rsidRDefault="00AB3615" w:rsidP="004C1B69">
            <w:pPr>
              <w:jc w:val="center"/>
              <w:rPr>
                <w:rFonts w:ascii="Times New Roman" w:hAnsi="Times New Roman"/>
                <w:sz w:val="24"/>
                <w:szCs w:val="24"/>
              </w:rPr>
            </w:pPr>
            <w:r w:rsidRPr="006B7765">
              <w:rPr>
                <w:rFonts w:ascii="Times New Roman" w:hAnsi="Times New Roman"/>
                <w:sz w:val="24"/>
                <w:szCs w:val="24"/>
              </w:rPr>
              <w:t xml:space="preserve">just above </w:t>
            </w:r>
            <w:r w:rsidRPr="006B7765">
              <w:rPr>
                <w:rFonts w:ascii="Times New Roman" w:hAnsi="Times New Roman"/>
                <w:i/>
                <w:sz w:val="24"/>
                <w:szCs w:val="24"/>
              </w:rPr>
              <w:t>elevators</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 xml:space="preserve">Combustion engines </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5.6</w:t>
            </w:r>
          </w:p>
        </w:tc>
        <w:tc>
          <w:tcPr>
            <w:tcW w:w="3540" w:type="dxa"/>
          </w:tcPr>
          <w:p w:rsidR="000624F8" w:rsidRPr="006B7765" w:rsidRDefault="00AB3615" w:rsidP="00AB3615">
            <w:pPr>
              <w:jc w:val="center"/>
              <w:rPr>
                <w:rFonts w:ascii="Times New Roman" w:hAnsi="Times New Roman"/>
                <w:sz w:val="24"/>
                <w:szCs w:val="24"/>
              </w:rPr>
            </w:pPr>
            <w:r w:rsidRPr="006B7765">
              <w:rPr>
                <w:rFonts w:ascii="Times New Roman" w:hAnsi="Times New Roman"/>
                <w:sz w:val="24"/>
                <w:szCs w:val="24"/>
              </w:rPr>
              <w:t xml:space="preserve">just below </w:t>
            </w:r>
            <w:r w:rsidRPr="006B7765">
              <w:rPr>
                <w:rFonts w:ascii="Times New Roman" w:hAnsi="Times New Roman"/>
                <w:i/>
                <w:sz w:val="24"/>
                <w:szCs w:val="24"/>
              </w:rPr>
              <w:t>elevators</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 xml:space="preserve">Steam turbines </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0.9</w:t>
            </w:r>
          </w:p>
        </w:tc>
        <w:tc>
          <w:tcPr>
            <w:tcW w:w="3540" w:type="dxa"/>
          </w:tcPr>
          <w:p w:rsidR="000624F8" w:rsidRPr="006B7765" w:rsidRDefault="00AB3615" w:rsidP="00E31323">
            <w:pPr>
              <w:jc w:val="center"/>
              <w:rPr>
                <w:rFonts w:ascii="Times New Roman" w:hAnsi="Times New Roman"/>
                <w:sz w:val="24"/>
                <w:szCs w:val="24"/>
              </w:rPr>
            </w:pPr>
            <w:r w:rsidRPr="006B7765">
              <w:rPr>
                <w:rFonts w:ascii="Times New Roman" w:hAnsi="Times New Roman"/>
                <w:sz w:val="24"/>
                <w:szCs w:val="24"/>
              </w:rPr>
              <w:t xml:space="preserve">just </w:t>
            </w:r>
            <w:r w:rsidR="00E31323" w:rsidRPr="006B7765">
              <w:rPr>
                <w:rFonts w:ascii="Times New Roman" w:hAnsi="Times New Roman"/>
                <w:sz w:val="24"/>
                <w:szCs w:val="24"/>
              </w:rPr>
              <w:t>above</w:t>
            </w:r>
            <w:r w:rsidRPr="006B7765">
              <w:rPr>
                <w:rFonts w:ascii="Times New Roman" w:hAnsi="Times New Roman"/>
                <w:sz w:val="24"/>
                <w:szCs w:val="24"/>
              </w:rPr>
              <w:t xml:space="preserve"> </w:t>
            </w:r>
            <w:r w:rsidR="00E31323" w:rsidRPr="006B7765">
              <w:rPr>
                <w:rFonts w:ascii="Times New Roman" w:hAnsi="Times New Roman"/>
                <w:i/>
                <w:sz w:val="24"/>
                <w:szCs w:val="24"/>
              </w:rPr>
              <w:t>non-domestic hot beverage equipment</w:t>
            </w:r>
            <w:r w:rsidR="00E31323" w:rsidRPr="006B7765">
              <w:rPr>
                <w:rFonts w:ascii="Times New Roman" w:hAnsi="Times New Roman"/>
                <w:sz w:val="24"/>
                <w:szCs w:val="24"/>
              </w:rPr>
              <w:t xml:space="preserve"> </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Hydropower</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0.8</w:t>
            </w:r>
          </w:p>
        </w:tc>
        <w:tc>
          <w:tcPr>
            <w:tcW w:w="3540" w:type="dxa"/>
          </w:tcPr>
          <w:p w:rsidR="000624F8" w:rsidRPr="006B7765" w:rsidRDefault="009D241A" w:rsidP="004C1B69">
            <w:pPr>
              <w:jc w:val="center"/>
              <w:rPr>
                <w:rFonts w:ascii="Times New Roman" w:hAnsi="Times New Roman"/>
                <w:sz w:val="24"/>
                <w:szCs w:val="24"/>
              </w:rPr>
            </w:pPr>
            <w:r w:rsidRPr="006B7765">
              <w:rPr>
                <w:rFonts w:ascii="Times New Roman" w:hAnsi="Times New Roman"/>
                <w:sz w:val="24"/>
                <w:szCs w:val="24"/>
              </w:rPr>
              <w:t xml:space="preserve">on par with </w:t>
            </w:r>
            <w:r w:rsidR="00E31323" w:rsidRPr="006B7765">
              <w:rPr>
                <w:rFonts w:ascii="Times New Roman" w:hAnsi="Times New Roman"/>
                <w:i/>
                <w:sz w:val="24"/>
                <w:szCs w:val="24"/>
              </w:rPr>
              <w:t>non-domestic hot beverage equipment</w:t>
            </w:r>
            <w:r w:rsidR="00E31323" w:rsidRPr="006B7765">
              <w:rPr>
                <w:rFonts w:ascii="Times New Roman" w:hAnsi="Times New Roman"/>
                <w:sz w:val="24"/>
                <w:szCs w:val="24"/>
              </w:rPr>
              <w:t xml:space="preserve"> </w:t>
            </w:r>
          </w:p>
        </w:tc>
      </w:tr>
      <w:tr w:rsidR="000624F8" w:rsidRPr="006B7765" w:rsidTr="003D2DC5">
        <w:tc>
          <w:tcPr>
            <w:tcW w:w="2748" w:type="dxa"/>
          </w:tcPr>
          <w:p w:rsidR="000624F8" w:rsidRPr="006B7765" w:rsidRDefault="000624F8">
            <w:pPr>
              <w:rPr>
                <w:rFonts w:ascii="Times New Roman" w:hAnsi="Times New Roman"/>
                <w:sz w:val="24"/>
                <w:szCs w:val="24"/>
              </w:rPr>
            </w:pPr>
            <w:r w:rsidRPr="006B7765">
              <w:rPr>
                <w:rFonts w:ascii="Times New Roman" w:hAnsi="Times New Roman"/>
                <w:sz w:val="24"/>
                <w:szCs w:val="24"/>
                <w:lang w:val="en-GB"/>
              </w:rPr>
              <w:t xml:space="preserve">Gas turbines </w:t>
            </w:r>
          </w:p>
        </w:tc>
        <w:tc>
          <w:tcPr>
            <w:tcW w:w="3000" w:type="dxa"/>
          </w:tcPr>
          <w:p w:rsidR="000624F8" w:rsidRPr="006B7765" w:rsidRDefault="000624F8" w:rsidP="004C1B69">
            <w:pPr>
              <w:jc w:val="center"/>
              <w:rPr>
                <w:rFonts w:ascii="Times New Roman" w:hAnsi="Times New Roman"/>
                <w:sz w:val="24"/>
                <w:szCs w:val="24"/>
              </w:rPr>
            </w:pPr>
            <w:r w:rsidRPr="006B7765">
              <w:rPr>
                <w:rFonts w:ascii="Times New Roman" w:hAnsi="Times New Roman"/>
                <w:sz w:val="24"/>
                <w:szCs w:val="24"/>
              </w:rPr>
              <w:t>0.1</w:t>
            </w:r>
          </w:p>
        </w:tc>
        <w:tc>
          <w:tcPr>
            <w:tcW w:w="3540" w:type="dxa"/>
          </w:tcPr>
          <w:p w:rsidR="000624F8" w:rsidRPr="006B7765" w:rsidRDefault="00E31323" w:rsidP="00E31323">
            <w:pPr>
              <w:jc w:val="center"/>
              <w:rPr>
                <w:rFonts w:ascii="Times New Roman" w:hAnsi="Times New Roman"/>
                <w:sz w:val="24"/>
                <w:szCs w:val="24"/>
              </w:rPr>
            </w:pPr>
            <w:r w:rsidRPr="006B7765">
              <w:rPr>
                <w:rFonts w:ascii="Times New Roman" w:hAnsi="Times New Roman"/>
                <w:sz w:val="24"/>
                <w:szCs w:val="24"/>
              </w:rPr>
              <w:t xml:space="preserve">on par with </w:t>
            </w:r>
            <w:r w:rsidR="00AB3615" w:rsidRPr="006B7765">
              <w:rPr>
                <w:rFonts w:ascii="Times New Roman" w:hAnsi="Times New Roman"/>
                <w:i/>
                <w:sz w:val="24"/>
                <w:szCs w:val="24"/>
              </w:rPr>
              <w:t>hot tubs/spa's</w:t>
            </w:r>
            <w:r w:rsidRPr="006B7765">
              <w:rPr>
                <w:rFonts w:ascii="Times New Roman" w:hAnsi="Times New Roman"/>
                <w:i/>
                <w:sz w:val="24"/>
                <w:szCs w:val="24"/>
              </w:rPr>
              <w:t>/</w:t>
            </w:r>
            <w:r w:rsidR="00AB3615" w:rsidRPr="006B7765">
              <w:rPr>
                <w:rFonts w:ascii="Times New Roman" w:hAnsi="Times New Roman"/>
                <w:i/>
                <w:sz w:val="24"/>
                <w:szCs w:val="24"/>
              </w:rPr>
              <w:t>whir</w:t>
            </w:r>
            <w:r w:rsidRPr="006B7765">
              <w:rPr>
                <w:rFonts w:ascii="Times New Roman" w:hAnsi="Times New Roman"/>
                <w:i/>
                <w:sz w:val="24"/>
                <w:szCs w:val="24"/>
              </w:rPr>
              <w:t>l</w:t>
            </w:r>
            <w:r w:rsidR="00AB3615" w:rsidRPr="006B7765">
              <w:rPr>
                <w:rFonts w:ascii="Times New Roman" w:hAnsi="Times New Roman"/>
                <w:i/>
                <w:sz w:val="24"/>
                <w:szCs w:val="24"/>
              </w:rPr>
              <w:t>pools</w:t>
            </w:r>
          </w:p>
        </w:tc>
      </w:tr>
    </w:tbl>
    <w:p w:rsidR="00505127" w:rsidRPr="006B7765" w:rsidRDefault="000624F8">
      <w:pPr>
        <w:rPr>
          <w:rFonts w:ascii="Times New Roman" w:hAnsi="Times New Roman" w:cs="Times New Roman"/>
          <w:sz w:val="24"/>
          <w:szCs w:val="24"/>
          <w:lang w:val="en-US"/>
        </w:rPr>
      </w:pPr>
      <w:r w:rsidRPr="006B7765">
        <w:rPr>
          <w:rFonts w:ascii="Times New Roman" w:hAnsi="Times New Roman" w:cs="Times New Roman"/>
          <w:sz w:val="24"/>
          <w:szCs w:val="24"/>
          <w:lang w:val="en-US"/>
        </w:rPr>
        <w:t xml:space="preserve">* expressed as extra generated </w:t>
      </w:r>
      <w:proofErr w:type="spellStart"/>
      <w:r w:rsidRPr="006B7765">
        <w:rPr>
          <w:rFonts w:ascii="Times New Roman" w:hAnsi="Times New Roman" w:cs="Times New Roman"/>
          <w:sz w:val="24"/>
          <w:szCs w:val="24"/>
          <w:lang w:val="en-US"/>
        </w:rPr>
        <w:t>TWh</w:t>
      </w:r>
      <w:proofErr w:type="spellEnd"/>
      <w:r w:rsidRPr="006B7765">
        <w:rPr>
          <w:rFonts w:ascii="Times New Roman" w:hAnsi="Times New Roman" w:cs="Times New Roman"/>
          <w:sz w:val="24"/>
          <w:szCs w:val="24"/>
          <w:lang w:val="en-US"/>
        </w:rPr>
        <w:t xml:space="preserve"> electricity</w:t>
      </w:r>
      <w:r w:rsidR="003802A2" w:rsidRPr="006B7765">
        <w:rPr>
          <w:rFonts w:ascii="Times New Roman" w:hAnsi="Times New Roman" w:cs="Times New Roman"/>
          <w:sz w:val="24"/>
          <w:szCs w:val="24"/>
          <w:lang w:val="en-US"/>
        </w:rPr>
        <w:t>,</w:t>
      </w:r>
      <w:r w:rsidRPr="006B7765">
        <w:rPr>
          <w:rFonts w:ascii="Times New Roman" w:hAnsi="Times New Roman" w:cs="Times New Roman"/>
          <w:sz w:val="24"/>
          <w:szCs w:val="24"/>
          <w:lang w:val="en-US"/>
        </w:rPr>
        <w:t xml:space="preserve"> which saves the need for electricity generation by other means</w:t>
      </w:r>
    </w:p>
    <w:p w:rsidR="003D2DC5" w:rsidRPr="006B7765" w:rsidRDefault="003D2DC5" w:rsidP="003D2DC5">
      <w:pPr>
        <w:jc w:val="both"/>
        <w:rPr>
          <w:rFonts w:ascii="Times New Roman" w:hAnsi="Times New Roman" w:cs="Times New Roman"/>
          <w:sz w:val="24"/>
          <w:szCs w:val="24"/>
          <w:lang w:val="en-US"/>
        </w:rPr>
      </w:pPr>
      <w:r w:rsidRPr="006B7765">
        <w:rPr>
          <w:rFonts w:ascii="Times New Roman" w:hAnsi="Times New Roman" w:cs="Times New Roman"/>
          <w:sz w:val="24"/>
          <w:szCs w:val="24"/>
          <w:lang w:val="en-US"/>
        </w:rPr>
        <w:lastRenderedPageBreak/>
        <w:t>On the basis of energy savings</w:t>
      </w:r>
      <w:r w:rsidR="007E1F13" w:rsidRPr="006B7765">
        <w:rPr>
          <w:rFonts w:ascii="Times New Roman" w:hAnsi="Times New Roman" w:cs="Times New Roman"/>
          <w:sz w:val="24"/>
          <w:szCs w:val="24"/>
          <w:lang w:val="en-US"/>
        </w:rPr>
        <w:t>,</w:t>
      </w:r>
      <w:r w:rsidRPr="006B7765">
        <w:rPr>
          <w:rFonts w:ascii="Times New Roman" w:hAnsi="Times New Roman" w:cs="Times New Roman"/>
          <w:sz w:val="24"/>
          <w:szCs w:val="24"/>
          <w:lang w:val="en-US"/>
        </w:rPr>
        <w:t xml:space="preserve"> only wind turbines would be a candidate </w:t>
      </w:r>
      <w:r w:rsidR="007E1F13" w:rsidRPr="006B7765">
        <w:rPr>
          <w:rFonts w:ascii="Times New Roman" w:hAnsi="Times New Roman" w:cs="Times New Roman"/>
          <w:sz w:val="24"/>
          <w:szCs w:val="24"/>
          <w:lang w:val="en-US"/>
        </w:rPr>
        <w:t>for</w:t>
      </w:r>
      <w:r w:rsidR="009D241A" w:rsidRPr="006B7765">
        <w:rPr>
          <w:rFonts w:ascii="Times New Roman" w:hAnsi="Times New Roman" w:cs="Times New Roman"/>
          <w:sz w:val="24"/>
          <w:szCs w:val="24"/>
          <w:lang w:val="en-US"/>
        </w:rPr>
        <w:t xml:space="preserve"> the </w:t>
      </w:r>
      <w:r w:rsidRPr="006B7765">
        <w:rPr>
          <w:rFonts w:ascii="Times New Roman" w:hAnsi="Times New Roman" w:cs="Times New Roman"/>
          <w:sz w:val="24"/>
          <w:szCs w:val="24"/>
          <w:lang w:val="en-US"/>
        </w:rPr>
        <w:t xml:space="preserve">priority product groups of the Working Plan 2012-2014. However, the sales of wind turbines in the EU is in the </w:t>
      </w:r>
      <w:r w:rsidR="009D241A" w:rsidRPr="006B7765">
        <w:rPr>
          <w:rFonts w:ascii="Times New Roman" w:hAnsi="Times New Roman" w:cs="Times New Roman"/>
          <w:sz w:val="24"/>
          <w:szCs w:val="24"/>
          <w:lang w:val="en-US"/>
        </w:rPr>
        <w:t xml:space="preserve">order of thousands per year, which </w:t>
      </w:r>
      <w:r w:rsidRPr="006B7765">
        <w:rPr>
          <w:rFonts w:ascii="Times New Roman" w:hAnsi="Times New Roman" w:cs="Times New Roman"/>
          <w:sz w:val="24"/>
          <w:szCs w:val="24"/>
          <w:lang w:val="en-US"/>
        </w:rPr>
        <w:t xml:space="preserve">does not come anywhere near the indicative minimum of 200.000 units per year </w:t>
      </w:r>
      <w:r w:rsidR="007E1F13" w:rsidRPr="006B7765">
        <w:rPr>
          <w:rFonts w:ascii="Times New Roman" w:hAnsi="Times New Roman" w:cs="Times New Roman"/>
          <w:sz w:val="24"/>
          <w:szCs w:val="24"/>
          <w:lang w:val="en-US"/>
        </w:rPr>
        <w:t xml:space="preserve">as </w:t>
      </w:r>
      <w:r w:rsidRPr="006B7765">
        <w:rPr>
          <w:rFonts w:ascii="Times New Roman" w:hAnsi="Times New Roman" w:cs="Times New Roman"/>
          <w:sz w:val="24"/>
          <w:szCs w:val="24"/>
          <w:lang w:val="en-US"/>
        </w:rPr>
        <w:t xml:space="preserve">referred to in article 15(2)(a) of the Ecodesign Directive. </w:t>
      </w:r>
      <w:r w:rsidR="009D241A" w:rsidRPr="006B7765">
        <w:rPr>
          <w:rFonts w:ascii="Times New Roman" w:hAnsi="Times New Roman" w:cs="Times New Roman"/>
          <w:sz w:val="24"/>
          <w:szCs w:val="24"/>
          <w:lang w:val="en-US"/>
        </w:rPr>
        <w:t>Further</w:t>
      </w:r>
      <w:r w:rsidR="007E1F13" w:rsidRPr="006B7765">
        <w:rPr>
          <w:rFonts w:ascii="Times New Roman" w:hAnsi="Times New Roman" w:cs="Times New Roman"/>
          <w:sz w:val="24"/>
          <w:szCs w:val="24"/>
          <w:lang w:val="en-US"/>
        </w:rPr>
        <w:t>more</w:t>
      </w:r>
      <w:r w:rsidRPr="006B7765">
        <w:rPr>
          <w:rFonts w:ascii="Times New Roman" w:hAnsi="Times New Roman" w:cs="Times New Roman"/>
          <w:sz w:val="24"/>
          <w:szCs w:val="24"/>
          <w:lang w:val="en-US"/>
        </w:rPr>
        <w:t xml:space="preserve">, energy labelling for </w:t>
      </w:r>
      <w:r w:rsidR="009D241A" w:rsidRPr="006B7765">
        <w:rPr>
          <w:rFonts w:ascii="Times New Roman" w:hAnsi="Times New Roman" w:cs="Times New Roman"/>
          <w:sz w:val="24"/>
          <w:szCs w:val="24"/>
          <w:lang w:val="en-US"/>
        </w:rPr>
        <w:t xml:space="preserve">wind-turbines, </w:t>
      </w:r>
      <w:r w:rsidRPr="006B7765">
        <w:rPr>
          <w:rFonts w:ascii="Times New Roman" w:hAnsi="Times New Roman" w:cs="Times New Roman"/>
          <w:sz w:val="24"/>
          <w:szCs w:val="24"/>
          <w:lang w:val="en-US"/>
        </w:rPr>
        <w:t xml:space="preserve">a business-to-business product </w:t>
      </w:r>
      <w:r w:rsidR="0084004C" w:rsidRPr="006B7765">
        <w:rPr>
          <w:rFonts w:ascii="Times New Roman" w:hAnsi="Times New Roman" w:cs="Times New Roman"/>
          <w:sz w:val="24"/>
          <w:szCs w:val="24"/>
          <w:lang w:val="en-US"/>
        </w:rPr>
        <w:t xml:space="preserve">for which efficiency information is </w:t>
      </w:r>
      <w:r w:rsidRPr="006B7765">
        <w:rPr>
          <w:rFonts w:ascii="Times New Roman" w:hAnsi="Times New Roman" w:cs="Times New Roman"/>
          <w:sz w:val="24"/>
          <w:szCs w:val="24"/>
          <w:lang w:val="en-US"/>
        </w:rPr>
        <w:t xml:space="preserve">already </w:t>
      </w:r>
      <w:r w:rsidR="0084004C" w:rsidRPr="006B7765">
        <w:rPr>
          <w:rFonts w:ascii="Times New Roman" w:hAnsi="Times New Roman" w:cs="Times New Roman"/>
          <w:sz w:val="24"/>
          <w:szCs w:val="24"/>
          <w:lang w:val="en-US"/>
        </w:rPr>
        <w:t>provided</w:t>
      </w:r>
      <w:r w:rsidR="007E1F13" w:rsidRPr="006B7765">
        <w:rPr>
          <w:rFonts w:ascii="Times New Roman" w:hAnsi="Times New Roman" w:cs="Times New Roman"/>
          <w:sz w:val="24"/>
          <w:szCs w:val="24"/>
          <w:lang w:val="en-US"/>
        </w:rPr>
        <w:t>,</w:t>
      </w:r>
      <w:r w:rsidR="009D241A" w:rsidRPr="006B7765">
        <w:rPr>
          <w:rFonts w:ascii="Times New Roman" w:hAnsi="Times New Roman" w:cs="Times New Roman"/>
          <w:sz w:val="24"/>
          <w:szCs w:val="24"/>
          <w:lang w:val="en-US"/>
        </w:rPr>
        <w:t xml:space="preserve"> does not seem opportune</w:t>
      </w:r>
      <w:r w:rsidRPr="006B7765">
        <w:rPr>
          <w:rFonts w:ascii="Times New Roman" w:hAnsi="Times New Roman" w:cs="Times New Roman"/>
          <w:sz w:val="24"/>
          <w:szCs w:val="24"/>
          <w:lang w:val="en-US"/>
        </w:rPr>
        <w:t xml:space="preserve">. Therefore, it does not seem appropriate to </w:t>
      </w:r>
      <w:r w:rsidR="009D241A" w:rsidRPr="006B7765">
        <w:rPr>
          <w:rFonts w:ascii="Times New Roman" w:hAnsi="Times New Roman" w:cs="Times New Roman"/>
          <w:sz w:val="24"/>
          <w:szCs w:val="24"/>
          <w:lang w:val="en-US"/>
        </w:rPr>
        <w:t>start a preparatory study for wind turbines.</w:t>
      </w:r>
    </w:p>
    <w:p w:rsidR="00625A4F" w:rsidRPr="006B7765" w:rsidRDefault="009D241A" w:rsidP="007E1F13">
      <w:pPr>
        <w:jc w:val="both"/>
        <w:rPr>
          <w:rFonts w:ascii="Times New Roman" w:hAnsi="Times New Roman" w:cs="Times New Roman"/>
          <w:sz w:val="24"/>
          <w:szCs w:val="24"/>
          <w:lang w:val="en-US"/>
        </w:rPr>
      </w:pPr>
      <w:r w:rsidRPr="006B7765">
        <w:rPr>
          <w:rFonts w:ascii="Times New Roman" w:hAnsi="Times New Roman" w:cs="Times New Roman"/>
          <w:sz w:val="24"/>
          <w:szCs w:val="24"/>
          <w:lang w:val="en-US"/>
        </w:rPr>
        <w:t xml:space="preserve">The product groups other than wind turbines all </w:t>
      </w:r>
      <w:r w:rsidR="007E1F13" w:rsidRPr="006B7765">
        <w:rPr>
          <w:rFonts w:ascii="Times New Roman" w:hAnsi="Times New Roman" w:cs="Times New Roman"/>
          <w:sz w:val="24"/>
          <w:szCs w:val="24"/>
          <w:lang w:val="en-US"/>
        </w:rPr>
        <w:t xml:space="preserve">have estimated </w:t>
      </w:r>
      <w:r w:rsidRPr="006B7765">
        <w:rPr>
          <w:rFonts w:ascii="Times New Roman" w:hAnsi="Times New Roman" w:cs="Times New Roman"/>
          <w:sz w:val="24"/>
          <w:szCs w:val="24"/>
          <w:lang w:val="en-US"/>
        </w:rPr>
        <w:t xml:space="preserve">energy savings that are much lower than for the product groups that were selected as priority products in the </w:t>
      </w:r>
      <w:r w:rsidR="007E1F13" w:rsidRPr="006B7765">
        <w:rPr>
          <w:rFonts w:ascii="Times New Roman" w:hAnsi="Times New Roman" w:cs="Times New Roman"/>
          <w:sz w:val="24"/>
          <w:szCs w:val="24"/>
          <w:lang w:val="en-US"/>
        </w:rPr>
        <w:t xml:space="preserve">Ecodesign </w:t>
      </w:r>
      <w:r w:rsidR="005052E5" w:rsidRPr="006B7765">
        <w:rPr>
          <w:rFonts w:ascii="Times New Roman" w:hAnsi="Times New Roman" w:cs="Times New Roman"/>
          <w:sz w:val="24"/>
          <w:szCs w:val="24"/>
          <w:lang w:val="en-US"/>
        </w:rPr>
        <w:t>W</w:t>
      </w:r>
      <w:r w:rsidRPr="006B7765">
        <w:rPr>
          <w:rFonts w:ascii="Times New Roman" w:hAnsi="Times New Roman" w:cs="Times New Roman"/>
          <w:sz w:val="24"/>
          <w:szCs w:val="24"/>
          <w:lang w:val="en-US"/>
        </w:rPr>
        <w:t xml:space="preserve">orking </w:t>
      </w:r>
      <w:r w:rsidR="005052E5" w:rsidRPr="006B7765">
        <w:rPr>
          <w:rFonts w:ascii="Times New Roman" w:hAnsi="Times New Roman" w:cs="Times New Roman"/>
          <w:sz w:val="24"/>
          <w:szCs w:val="24"/>
          <w:lang w:val="en-US"/>
        </w:rPr>
        <w:t>P</w:t>
      </w:r>
      <w:r w:rsidRPr="006B7765">
        <w:rPr>
          <w:rFonts w:ascii="Times New Roman" w:hAnsi="Times New Roman" w:cs="Times New Roman"/>
          <w:sz w:val="24"/>
          <w:szCs w:val="24"/>
          <w:lang w:val="en-US"/>
        </w:rPr>
        <w:t xml:space="preserve">lan. </w:t>
      </w:r>
    </w:p>
    <w:p w:rsidR="003D2DC5" w:rsidRPr="006B7765" w:rsidRDefault="009B6856" w:rsidP="0004468F">
      <w:pPr>
        <w:jc w:val="both"/>
        <w:rPr>
          <w:rFonts w:ascii="Times New Roman" w:hAnsi="Times New Roman" w:cs="Times New Roman"/>
          <w:sz w:val="24"/>
          <w:szCs w:val="24"/>
          <w:lang w:val="en-US"/>
        </w:rPr>
      </w:pPr>
      <w:r w:rsidRPr="006B7765">
        <w:rPr>
          <w:rFonts w:ascii="Times New Roman" w:hAnsi="Times New Roman" w:cs="Times New Roman"/>
          <w:i/>
          <w:sz w:val="24"/>
          <w:szCs w:val="24"/>
          <w:lang w:val="en-US"/>
        </w:rPr>
        <w:t>On the basis of the above</w:t>
      </w:r>
      <w:r w:rsidR="003D2DC5" w:rsidRPr="006B7765">
        <w:rPr>
          <w:rFonts w:ascii="Times New Roman" w:hAnsi="Times New Roman" w:cs="Times New Roman"/>
          <w:i/>
          <w:sz w:val="24"/>
          <w:szCs w:val="24"/>
          <w:lang w:val="en-US"/>
        </w:rPr>
        <w:t>, the Commission</w:t>
      </w:r>
      <w:r w:rsidR="005B1AED">
        <w:rPr>
          <w:rFonts w:ascii="Times New Roman" w:hAnsi="Times New Roman" w:cs="Times New Roman"/>
          <w:i/>
          <w:sz w:val="24"/>
          <w:szCs w:val="24"/>
          <w:lang w:val="en-US"/>
        </w:rPr>
        <w:t xml:space="preserve"> services</w:t>
      </w:r>
      <w:r w:rsidR="003D2DC5" w:rsidRPr="006B7765">
        <w:rPr>
          <w:rFonts w:ascii="Times New Roman" w:hAnsi="Times New Roman" w:cs="Times New Roman"/>
          <w:i/>
          <w:sz w:val="24"/>
          <w:szCs w:val="24"/>
          <w:lang w:val="en-US"/>
        </w:rPr>
        <w:t xml:space="preserve"> suggest</w:t>
      </w:r>
      <w:bookmarkStart w:id="0" w:name="_GoBack"/>
      <w:bookmarkEnd w:id="0"/>
      <w:r w:rsidR="003D2DC5" w:rsidRPr="006B7765">
        <w:rPr>
          <w:rFonts w:ascii="Times New Roman" w:hAnsi="Times New Roman" w:cs="Times New Roman"/>
          <w:i/>
          <w:sz w:val="24"/>
          <w:szCs w:val="24"/>
          <w:lang w:val="en-US"/>
        </w:rPr>
        <w:t xml:space="preserve"> tha</w:t>
      </w:r>
      <w:r w:rsidR="00065326" w:rsidRPr="006B7765">
        <w:rPr>
          <w:rFonts w:ascii="Times New Roman" w:hAnsi="Times New Roman" w:cs="Times New Roman"/>
          <w:i/>
          <w:sz w:val="24"/>
          <w:szCs w:val="24"/>
          <w:lang w:val="en-US"/>
        </w:rPr>
        <w:t>t</w:t>
      </w:r>
      <w:r w:rsidRPr="006B7765">
        <w:rPr>
          <w:rFonts w:ascii="Times New Roman" w:hAnsi="Times New Roman" w:cs="Times New Roman"/>
          <w:i/>
          <w:sz w:val="24"/>
          <w:szCs w:val="24"/>
          <w:lang w:val="en-US"/>
        </w:rPr>
        <w:t xml:space="preserve"> </w:t>
      </w:r>
      <w:r w:rsidR="00065326" w:rsidRPr="006B7765">
        <w:rPr>
          <w:rFonts w:ascii="Times New Roman" w:hAnsi="Times New Roman" w:cs="Times New Roman"/>
          <w:i/>
          <w:sz w:val="24"/>
          <w:szCs w:val="24"/>
          <w:lang w:val="en-US"/>
        </w:rPr>
        <w:t xml:space="preserve">the scoping study for power generating equipment is </w:t>
      </w:r>
      <w:r w:rsidR="0013539B" w:rsidRPr="006B7765">
        <w:rPr>
          <w:rFonts w:ascii="Times New Roman" w:hAnsi="Times New Roman" w:cs="Times New Roman"/>
          <w:i/>
          <w:sz w:val="24"/>
          <w:szCs w:val="24"/>
          <w:lang w:val="en-US"/>
        </w:rPr>
        <w:t>not followed</w:t>
      </w:r>
      <w:r w:rsidR="00065326" w:rsidRPr="006B7765">
        <w:rPr>
          <w:rFonts w:ascii="Times New Roman" w:hAnsi="Times New Roman" w:cs="Times New Roman"/>
          <w:i/>
          <w:sz w:val="24"/>
          <w:szCs w:val="24"/>
          <w:lang w:val="en-US"/>
        </w:rPr>
        <w:t>-</w:t>
      </w:r>
      <w:r w:rsidR="0013539B" w:rsidRPr="006B7765">
        <w:rPr>
          <w:rFonts w:ascii="Times New Roman" w:hAnsi="Times New Roman" w:cs="Times New Roman"/>
          <w:i/>
          <w:sz w:val="24"/>
          <w:szCs w:val="24"/>
          <w:lang w:val="en-US"/>
        </w:rPr>
        <w:t>up by</w:t>
      </w:r>
      <w:r w:rsidR="00065326" w:rsidRPr="006B7765">
        <w:rPr>
          <w:rFonts w:ascii="Times New Roman" w:hAnsi="Times New Roman" w:cs="Times New Roman"/>
          <w:i/>
          <w:sz w:val="24"/>
          <w:szCs w:val="24"/>
          <w:lang w:val="en-US"/>
        </w:rPr>
        <w:t xml:space="preserve"> a preparatory study</w:t>
      </w:r>
      <w:r w:rsidRPr="006B7765">
        <w:rPr>
          <w:rFonts w:ascii="Times New Roman" w:hAnsi="Times New Roman" w:cs="Times New Roman"/>
          <w:sz w:val="24"/>
          <w:szCs w:val="24"/>
          <w:lang w:val="en-US"/>
        </w:rPr>
        <w:t>.</w:t>
      </w:r>
    </w:p>
    <w:sectPr w:rsidR="003D2DC5" w:rsidRPr="006B7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D09B9"/>
    <w:rsid w:val="0004468F"/>
    <w:rsid w:val="000624F8"/>
    <w:rsid w:val="00065326"/>
    <w:rsid w:val="0013539B"/>
    <w:rsid w:val="001C2D2D"/>
    <w:rsid w:val="001C3CA1"/>
    <w:rsid w:val="002004D0"/>
    <w:rsid w:val="002A5E84"/>
    <w:rsid w:val="002D09B9"/>
    <w:rsid w:val="0033226F"/>
    <w:rsid w:val="003802A2"/>
    <w:rsid w:val="003B76A1"/>
    <w:rsid w:val="003D2DC5"/>
    <w:rsid w:val="00437F79"/>
    <w:rsid w:val="004C1B69"/>
    <w:rsid w:val="005028C9"/>
    <w:rsid w:val="00505127"/>
    <w:rsid w:val="005052E5"/>
    <w:rsid w:val="005B1AED"/>
    <w:rsid w:val="005C1A42"/>
    <w:rsid w:val="00625A4F"/>
    <w:rsid w:val="00655521"/>
    <w:rsid w:val="00692074"/>
    <w:rsid w:val="006B7765"/>
    <w:rsid w:val="006D1AD2"/>
    <w:rsid w:val="00765C17"/>
    <w:rsid w:val="007E1F13"/>
    <w:rsid w:val="0084004C"/>
    <w:rsid w:val="008C37FC"/>
    <w:rsid w:val="009B6856"/>
    <w:rsid w:val="009D241A"/>
    <w:rsid w:val="00A7511F"/>
    <w:rsid w:val="00A869C0"/>
    <w:rsid w:val="00AB3615"/>
    <w:rsid w:val="00AD22CB"/>
    <w:rsid w:val="00C10FF5"/>
    <w:rsid w:val="00E31323"/>
    <w:rsid w:val="00E67F56"/>
    <w:rsid w:val="00E73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27"/>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wordWrap/>
      </w:pPr>
      <w:rPr>
        <w:rFonts w:asciiTheme="majorHAnsi" w:hAnsiTheme="maj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4A3DC"/>
      </w:tcPr>
    </w:tblStylePr>
  </w:style>
  <w:style w:type="paragraph" w:styleId="BalloonText">
    <w:name w:val="Balloon Text"/>
    <w:basedOn w:val="Normal"/>
    <w:link w:val="BalloonTextChar"/>
    <w:uiPriority w:val="99"/>
    <w:semiHidden/>
    <w:unhideWhenUsed/>
    <w:rsid w:val="007E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13"/>
    <w:rPr>
      <w:rFonts w:ascii="Tahoma" w:hAnsi="Tahoma" w:cs="Tahoma"/>
      <w:sz w:val="16"/>
      <w:szCs w:val="16"/>
    </w:rPr>
  </w:style>
  <w:style w:type="character" w:styleId="CommentReference">
    <w:name w:val="annotation reference"/>
    <w:basedOn w:val="DefaultParagraphFont"/>
    <w:uiPriority w:val="99"/>
    <w:semiHidden/>
    <w:unhideWhenUsed/>
    <w:rsid w:val="007E1F13"/>
    <w:rPr>
      <w:sz w:val="16"/>
      <w:szCs w:val="16"/>
    </w:rPr>
  </w:style>
  <w:style w:type="paragraph" w:styleId="CommentText">
    <w:name w:val="annotation text"/>
    <w:basedOn w:val="Normal"/>
    <w:link w:val="CommentTextChar"/>
    <w:uiPriority w:val="99"/>
    <w:semiHidden/>
    <w:unhideWhenUsed/>
    <w:rsid w:val="007E1F13"/>
    <w:pPr>
      <w:spacing w:line="240" w:lineRule="auto"/>
    </w:pPr>
    <w:rPr>
      <w:sz w:val="20"/>
      <w:szCs w:val="20"/>
    </w:rPr>
  </w:style>
  <w:style w:type="character" w:customStyle="1" w:styleId="CommentTextChar">
    <w:name w:val="Comment Text Char"/>
    <w:basedOn w:val="DefaultParagraphFont"/>
    <w:link w:val="CommentText"/>
    <w:uiPriority w:val="99"/>
    <w:semiHidden/>
    <w:rsid w:val="007E1F13"/>
    <w:rPr>
      <w:sz w:val="20"/>
      <w:szCs w:val="20"/>
    </w:rPr>
  </w:style>
  <w:style w:type="paragraph" w:styleId="CommentSubject">
    <w:name w:val="annotation subject"/>
    <w:basedOn w:val="CommentText"/>
    <w:next w:val="CommentText"/>
    <w:link w:val="CommentSubjectChar"/>
    <w:uiPriority w:val="99"/>
    <w:semiHidden/>
    <w:unhideWhenUsed/>
    <w:rsid w:val="007E1F13"/>
    <w:rPr>
      <w:b/>
      <w:bCs/>
    </w:rPr>
  </w:style>
  <w:style w:type="character" w:customStyle="1" w:styleId="CommentSubjectChar">
    <w:name w:val="Comment Subject Char"/>
    <w:basedOn w:val="CommentTextChar"/>
    <w:link w:val="CommentSubject"/>
    <w:uiPriority w:val="99"/>
    <w:semiHidden/>
    <w:rsid w:val="007E1F13"/>
    <w:rPr>
      <w:b/>
      <w:bCs/>
      <w:sz w:val="20"/>
      <w:szCs w:val="20"/>
    </w:rPr>
  </w:style>
  <w:style w:type="paragraph" w:customStyle="1" w:styleId="ZCom">
    <w:name w:val="Z_Com"/>
    <w:basedOn w:val="Normal"/>
    <w:next w:val="ZDGName"/>
    <w:uiPriority w:val="99"/>
    <w:rsid w:val="005028C9"/>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5028C9"/>
    <w:pPr>
      <w:widowControl w:val="0"/>
      <w:autoSpaceDE w:val="0"/>
      <w:autoSpaceDN w:val="0"/>
      <w:spacing w:after="0" w:line="240" w:lineRule="auto"/>
      <w:ind w:right="85"/>
    </w:pPr>
    <w:rPr>
      <w:rFonts w:ascii="Arial" w:eastAsiaTheme="minorEastAsia" w:hAnsi="Arial" w:cs="Arial"/>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127"/>
    <w:pPr>
      <w:spacing w:after="0" w:line="240" w:lineRule="auto"/>
    </w:pPr>
    <w:rPr>
      <w:rFonts w:eastAsia="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blStylePr w:type="firstRow">
      <w:pPr>
        <w:wordWrap/>
      </w:pPr>
      <w:rPr>
        <w:rFonts w:asciiTheme="majorHAnsi" w:hAnsiTheme="majorHAnsi"/>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34A3DC"/>
      </w:tcPr>
    </w:tblStylePr>
  </w:style>
  <w:style w:type="paragraph" w:styleId="BalloonText">
    <w:name w:val="Balloon Text"/>
    <w:basedOn w:val="Normal"/>
    <w:link w:val="BalloonTextChar"/>
    <w:uiPriority w:val="99"/>
    <w:semiHidden/>
    <w:unhideWhenUsed/>
    <w:rsid w:val="007E1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13"/>
    <w:rPr>
      <w:rFonts w:ascii="Tahoma" w:hAnsi="Tahoma" w:cs="Tahoma"/>
      <w:sz w:val="16"/>
      <w:szCs w:val="16"/>
    </w:rPr>
  </w:style>
  <w:style w:type="character" w:styleId="CommentReference">
    <w:name w:val="annotation reference"/>
    <w:basedOn w:val="DefaultParagraphFont"/>
    <w:uiPriority w:val="99"/>
    <w:semiHidden/>
    <w:unhideWhenUsed/>
    <w:rsid w:val="007E1F13"/>
    <w:rPr>
      <w:sz w:val="16"/>
      <w:szCs w:val="16"/>
    </w:rPr>
  </w:style>
  <w:style w:type="paragraph" w:styleId="CommentText">
    <w:name w:val="annotation text"/>
    <w:basedOn w:val="Normal"/>
    <w:link w:val="CommentTextChar"/>
    <w:uiPriority w:val="99"/>
    <w:semiHidden/>
    <w:unhideWhenUsed/>
    <w:rsid w:val="007E1F13"/>
    <w:pPr>
      <w:spacing w:line="240" w:lineRule="auto"/>
    </w:pPr>
    <w:rPr>
      <w:sz w:val="20"/>
      <w:szCs w:val="20"/>
    </w:rPr>
  </w:style>
  <w:style w:type="character" w:customStyle="1" w:styleId="CommentTextChar">
    <w:name w:val="Comment Text Char"/>
    <w:basedOn w:val="DefaultParagraphFont"/>
    <w:link w:val="CommentText"/>
    <w:uiPriority w:val="99"/>
    <w:semiHidden/>
    <w:rsid w:val="007E1F13"/>
    <w:rPr>
      <w:sz w:val="20"/>
      <w:szCs w:val="20"/>
    </w:rPr>
  </w:style>
  <w:style w:type="paragraph" w:styleId="CommentSubject">
    <w:name w:val="annotation subject"/>
    <w:basedOn w:val="CommentText"/>
    <w:next w:val="CommentText"/>
    <w:link w:val="CommentSubjectChar"/>
    <w:uiPriority w:val="99"/>
    <w:semiHidden/>
    <w:unhideWhenUsed/>
    <w:rsid w:val="007E1F13"/>
    <w:rPr>
      <w:b/>
      <w:bCs/>
    </w:rPr>
  </w:style>
  <w:style w:type="character" w:customStyle="1" w:styleId="CommentSubjectChar">
    <w:name w:val="Comment Subject Char"/>
    <w:basedOn w:val="CommentTextChar"/>
    <w:link w:val="CommentSubject"/>
    <w:uiPriority w:val="99"/>
    <w:semiHidden/>
    <w:rsid w:val="007E1F13"/>
    <w:rPr>
      <w:b/>
      <w:bCs/>
      <w:sz w:val="20"/>
      <w:szCs w:val="20"/>
    </w:rPr>
  </w:style>
  <w:style w:type="paragraph" w:customStyle="1" w:styleId="ZCom">
    <w:name w:val="Z_Com"/>
    <w:basedOn w:val="Normal"/>
    <w:next w:val="ZDGName"/>
    <w:uiPriority w:val="99"/>
    <w:rsid w:val="005028C9"/>
    <w:pPr>
      <w:widowControl w:val="0"/>
      <w:autoSpaceDE w:val="0"/>
      <w:autoSpaceDN w:val="0"/>
      <w:spacing w:after="0" w:line="240" w:lineRule="auto"/>
      <w:ind w:right="85"/>
      <w:jc w:val="both"/>
    </w:pPr>
    <w:rPr>
      <w:rFonts w:ascii="Arial" w:eastAsiaTheme="minorEastAsia" w:hAnsi="Arial" w:cs="Arial"/>
      <w:sz w:val="24"/>
      <w:szCs w:val="24"/>
      <w:lang w:eastAsia="en-GB"/>
    </w:rPr>
  </w:style>
  <w:style w:type="paragraph" w:customStyle="1" w:styleId="ZDGName">
    <w:name w:val="Z_DGName"/>
    <w:basedOn w:val="Normal"/>
    <w:uiPriority w:val="99"/>
    <w:rsid w:val="005028C9"/>
    <w:pPr>
      <w:widowControl w:val="0"/>
      <w:autoSpaceDE w:val="0"/>
      <w:autoSpaceDN w:val="0"/>
      <w:spacing w:after="0" w:line="240" w:lineRule="auto"/>
      <w:ind w:right="85"/>
    </w:pPr>
    <w:rPr>
      <w:rFonts w:ascii="Arial" w:eastAsiaTheme="minorEastAsia"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387</Words>
  <Characters>2558</Characters>
  <Application>Microsoft Office Word</Application>
  <DocSecurity>0</DocSecurity>
  <Lines>182</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DEURWAARDER Ewout (ENER)</dc:creator>
  <cp:lastModifiedBy>MICHIELS Isabelle (ENER)</cp:lastModifiedBy>
  <cp:revision>5</cp:revision>
  <cp:lastPrinted>2014-03-24T07:48:00Z</cp:lastPrinted>
  <dcterms:created xsi:type="dcterms:W3CDTF">2014-04-04T08:30:00Z</dcterms:created>
  <dcterms:modified xsi:type="dcterms:W3CDTF">2014-04-04T13:13:00Z</dcterms:modified>
</cp:coreProperties>
</file>