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C8925" w14:textId="66AEEF02" w:rsidR="00606383" w:rsidRDefault="00606383" w:rsidP="008818E0">
      <w:pPr>
        <w:contextualSpacing/>
        <w:jc w:val="center"/>
        <w:rPr>
          <w:b/>
          <w:sz w:val="28"/>
          <w:szCs w:val="28"/>
        </w:rPr>
      </w:pPr>
      <w:bookmarkStart w:id="0" w:name="_Toc230145547"/>
      <w:bookmarkStart w:id="1" w:name="_Toc246146847"/>
    </w:p>
    <w:p w14:paraId="6B762BA0" w14:textId="77777777" w:rsidR="001B2873" w:rsidRPr="00CD5A46" w:rsidRDefault="001B2873" w:rsidP="008818E0">
      <w:pPr>
        <w:contextualSpacing/>
        <w:jc w:val="center"/>
        <w:rPr>
          <w:b/>
          <w:sz w:val="28"/>
          <w:szCs w:val="28"/>
        </w:rPr>
      </w:pPr>
      <w:r w:rsidRPr="00CD5A46">
        <w:rPr>
          <w:b/>
          <w:sz w:val="28"/>
          <w:szCs w:val="28"/>
        </w:rPr>
        <w:t>INDUSTRY VOLUNTARY</w:t>
      </w:r>
      <w:r w:rsidR="00781453" w:rsidRPr="00CD5A46">
        <w:rPr>
          <w:b/>
          <w:sz w:val="28"/>
          <w:szCs w:val="28"/>
        </w:rPr>
        <w:t xml:space="preserve"> </w:t>
      </w:r>
      <w:r w:rsidRPr="00CD5A46">
        <w:rPr>
          <w:b/>
          <w:sz w:val="28"/>
          <w:szCs w:val="28"/>
        </w:rPr>
        <w:t>AGREEMENT TO IMPROVE THE ENVIRONMENTAL PERFORMANCE</w:t>
      </w:r>
    </w:p>
    <w:p w14:paraId="2F749B80" w14:textId="77777777" w:rsidR="001B2873" w:rsidRPr="00CD5A46" w:rsidRDefault="001B2873" w:rsidP="008818E0">
      <w:pPr>
        <w:contextualSpacing/>
        <w:jc w:val="center"/>
        <w:rPr>
          <w:b/>
          <w:sz w:val="28"/>
          <w:szCs w:val="28"/>
        </w:rPr>
      </w:pPr>
    </w:p>
    <w:p w14:paraId="277E5970" w14:textId="0B2BAD9F" w:rsidR="001B2873" w:rsidRPr="00CD5A46" w:rsidRDefault="001B2873" w:rsidP="008818E0">
      <w:pPr>
        <w:contextualSpacing/>
        <w:jc w:val="center"/>
        <w:rPr>
          <w:b/>
          <w:sz w:val="28"/>
          <w:szCs w:val="28"/>
        </w:rPr>
      </w:pPr>
      <w:r w:rsidRPr="00CD5A46">
        <w:rPr>
          <w:b/>
          <w:sz w:val="28"/>
          <w:szCs w:val="28"/>
        </w:rPr>
        <w:t>OF</w:t>
      </w:r>
    </w:p>
    <w:p w14:paraId="3539F2A8" w14:textId="77777777" w:rsidR="001B2873" w:rsidRPr="00CD5A46" w:rsidRDefault="001B2873" w:rsidP="008818E0">
      <w:pPr>
        <w:contextualSpacing/>
        <w:jc w:val="center"/>
        <w:rPr>
          <w:b/>
          <w:sz w:val="28"/>
          <w:szCs w:val="28"/>
        </w:rPr>
      </w:pPr>
    </w:p>
    <w:p w14:paraId="0B1EF020" w14:textId="77777777" w:rsidR="00C81ADC" w:rsidRPr="00CD5A46" w:rsidRDefault="00781453" w:rsidP="008818E0">
      <w:pPr>
        <w:contextualSpacing/>
        <w:jc w:val="center"/>
        <w:rPr>
          <w:b/>
          <w:sz w:val="28"/>
          <w:szCs w:val="28"/>
        </w:rPr>
      </w:pPr>
      <w:r w:rsidRPr="00CD5A46">
        <w:rPr>
          <w:b/>
          <w:sz w:val="28"/>
          <w:szCs w:val="28"/>
        </w:rPr>
        <w:t>IMAGING EQUIPMENT</w:t>
      </w:r>
      <w:bookmarkEnd w:id="0"/>
      <w:bookmarkEnd w:id="1"/>
      <w:r w:rsidR="001B2873" w:rsidRPr="00CD5A46">
        <w:rPr>
          <w:b/>
          <w:sz w:val="28"/>
          <w:szCs w:val="28"/>
        </w:rPr>
        <w:t xml:space="preserve"> PLACED ON THE EUROPEAN MARKET</w:t>
      </w:r>
    </w:p>
    <w:p w14:paraId="3CEEADFA" w14:textId="77777777" w:rsidR="001B2873" w:rsidRPr="00CD5A46" w:rsidRDefault="001B2873" w:rsidP="008818E0">
      <w:pPr>
        <w:contextualSpacing/>
        <w:jc w:val="center"/>
      </w:pPr>
    </w:p>
    <w:p w14:paraId="2B952C0F" w14:textId="1939D8D5" w:rsidR="00223DE2" w:rsidRPr="005754E1" w:rsidRDefault="000171C3" w:rsidP="008818E0">
      <w:pPr>
        <w:contextualSpacing/>
        <w:jc w:val="center"/>
        <w:rPr>
          <w:b/>
        </w:rPr>
      </w:pPr>
      <w:r w:rsidRPr="008908EE">
        <w:rPr>
          <w:b/>
          <w:highlight w:val="yellow"/>
        </w:rPr>
        <w:t xml:space="preserve">Draft </w:t>
      </w:r>
      <w:r w:rsidR="00456F61" w:rsidRPr="008908EE">
        <w:rPr>
          <w:b/>
          <w:highlight w:val="yellow"/>
        </w:rPr>
        <w:t>VA v.</w:t>
      </w:r>
      <w:r w:rsidR="00F830AB">
        <w:rPr>
          <w:b/>
          <w:highlight w:val="yellow"/>
        </w:rPr>
        <w:t>5.0</w:t>
      </w:r>
    </w:p>
    <w:p w14:paraId="14C805EE" w14:textId="77777777" w:rsidR="00456F61" w:rsidRPr="005754E1" w:rsidRDefault="00456F61" w:rsidP="008818E0">
      <w:pPr>
        <w:contextualSpacing/>
        <w:jc w:val="center"/>
      </w:pPr>
    </w:p>
    <w:p w14:paraId="58984411" w14:textId="77777777" w:rsidR="001B2873" w:rsidRPr="005754E1" w:rsidRDefault="001B2873" w:rsidP="008818E0">
      <w:pPr>
        <w:contextualSpacing/>
        <w:jc w:val="center"/>
      </w:pPr>
    </w:p>
    <w:p w14:paraId="64781A63" w14:textId="6F063657" w:rsidR="00BB012D" w:rsidRPr="00C81D5F" w:rsidRDefault="00F830AB" w:rsidP="008818E0">
      <w:pPr>
        <w:contextualSpacing/>
        <w:jc w:val="center"/>
        <w:rPr>
          <w:color w:val="FF0000"/>
        </w:rPr>
      </w:pPr>
      <w:r w:rsidRPr="00C81D5F">
        <w:rPr>
          <w:color w:val="FF0000"/>
        </w:rPr>
        <w:t>December 2013</w:t>
      </w:r>
    </w:p>
    <w:p w14:paraId="6E993C7A" w14:textId="77777777" w:rsidR="00BB012D" w:rsidRPr="005754E1" w:rsidRDefault="00BB012D" w:rsidP="008818E0">
      <w:pPr>
        <w:contextualSpacing/>
        <w:jc w:val="both"/>
      </w:pPr>
    </w:p>
    <w:p w14:paraId="07B1FF79" w14:textId="77777777" w:rsidR="00456F61" w:rsidRPr="005754E1" w:rsidRDefault="00456F61" w:rsidP="008818E0">
      <w:pPr>
        <w:contextualSpacing/>
        <w:jc w:val="both"/>
      </w:pPr>
    </w:p>
    <w:p w14:paraId="52A26ED7" w14:textId="77777777" w:rsidR="00A81753" w:rsidRPr="005754E1" w:rsidRDefault="00A81753" w:rsidP="008818E0">
      <w:pPr>
        <w:contextualSpacing/>
        <w:jc w:val="both"/>
      </w:pPr>
    </w:p>
    <w:p w14:paraId="3C831C8D" w14:textId="77777777" w:rsidR="00456F61" w:rsidRPr="005754E1" w:rsidRDefault="00456F61" w:rsidP="008818E0">
      <w:pPr>
        <w:contextualSpacing/>
        <w:jc w:val="both"/>
      </w:pPr>
    </w:p>
    <w:p w14:paraId="0CEB1D06" w14:textId="77777777" w:rsidR="00456F61" w:rsidRPr="005754E1" w:rsidRDefault="00456F61" w:rsidP="008818E0">
      <w:pPr>
        <w:contextualSpacing/>
        <w:jc w:val="both"/>
      </w:pPr>
    </w:p>
    <w:p w14:paraId="32C533D1" w14:textId="77777777" w:rsidR="00A81753" w:rsidRPr="005754E1" w:rsidRDefault="00A81753" w:rsidP="008818E0">
      <w:pPr>
        <w:contextualSpacing/>
        <w:jc w:val="both"/>
      </w:pPr>
    </w:p>
    <w:p w14:paraId="52619B16" w14:textId="77777777" w:rsidR="00AA65A1" w:rsidRPr="005754E1" w:rsidRDefault="00AA65A1" w:rsidP="008818E0">
      <w:pPr>
        <w:contextualSpacing/>
        <w:jc w:val="both"/>
      </w:pPr>
      <w:r w:rsidRPr="005754E1">
        <w:br w:type="page"/>
      </w:r>
    </w:p>
    <w:p w14:paraId="058783BF" w14:textId="77777777" w:rsidR="00A81753" w:rsidRPr="005754E1" w:rsidRDefault="00A81753" w:rsidP="008818E0">
      <w:pPr>
        <w:contextualSpacing/>
        <w:jc w:val="both"/>
        <w:rPr>
          <w:b/>
        </w:rPr>
      </w:pPr>
    </w:p>
    <w:p w14:paraId="3AD5E751" w14:textId="77777777" w:rsidR="00D770CD" w:rsidRPr="005754E1" w:rsidRDefault="00D770CD" w:rsidP="008818E0">
      <w:pPr>
        <w:contextualSpacing/>
        <w:jc w:val="both"/>
      </w:pPr>
    </w:p>
    <w:p w14:paraId="3B17D95B" w14:textId="77777777" w:rsidR="00456F61" w:rsidRPr="005754E1" w:rsidRDefault="00456F61" w:rsidP="008818E0">
      <w:pPr>
        <w:contextualSpacing/>
        <w:jc w:val="both"/>
      </w:pPr>
    </w:p>
    <w:p w14:paraId="1CFA441D" w14:textId="77777777" w:rsidR="002B5A77" w:rsidRPr="005754E1" w:rsidRDefault="007E1AE0" w:rsidP="008818E0">
      <w:pPr>
        <w:contextualSpacing/>
        <w:jc w:val="both"/>
        <w:rPr>
          <w:b/>
          <w:sz w:val="24"/>
          <w:szCs w:val="24"/>
        </w:rPr>
      </w:pPr>
      <w:r w:rsidRPr="005754E1">
        <w:rPr>
          <w:b/>
          <w:sz w:val="24"/>
          <w:szCs w:val="24"/>
        </w:rPr>
        <w:t>Contents</w:t>
      </w:r>
    </w:p>
    <w:p w14:paraId="4813CE06" w14:textId="77777777" w:rsidR="007E1AE0" w:rsidRPr="005754E1" w:rsidRDefault="007E1AE0" w:rsidP="008818E0">
      <w:pPr>
        <w:contextualSpacing/>
        <w:jc w:val="both"/>
        <w:rPr>
          <w:b/>
          <w:sz w:val="24"/>
          <w:szCs w:val="24"/>
        </w:rPr>
      </w:pPr>
    </w:p>
    <w:sdt>
      <w:sdtPr>
        <w:rPr>
          <w:rFonts w:ascii="Arial" w:eastAsia="MS Mincho" w:hAnsi="Arial" w:cs="Arial"/>
          <w:b w:val="0"/>
          <w:bCs w:val="0"/>
          <w:color w:val="auto"/>
          <w:sz w:val="20"/>
          <w:szCs w:val="20"/>
          <w:lang w:val="en-GB"/>
        </w:rPr>
        <w:id w:val="-586532795"/>
        <w:docPartObj>
          <w:docPartGallery w:val="Table of Contents"/>
          <w:docPartUnique/>
        </w:docPartObj>
      </w:sdtPr>
      <w:sdtEndPr>
        <w:rPr>
          <w:noProof/>
        </w:rPr>
      </w:sdtEndPr>
      <w:sdtContent>
        <w:p w14:paraId="3A32F501" w14:textId="43D21957" w:rsidR="00D52EE3" w:rsidRPr="00381F78" w:rsidRDefault="00D52EE3" w:rsidP="008818E0">
          <w:pPr>
            <w:pStyle w:val="TOCHeading"/>
            <w:spacing w:before="0" w:line="240" w:lineRule="auto"/>
            <w:contextualSpacing/>
            <w:jc w:val="both"/>
            <w:rPr>
              <w:color w:val="auto"/>
            </w:rPr>
          </w:pPr>
        </w:p>
        <w:p w14:paraId="6031A4A7" w14:textId="6135E074" w:rsidR="00222AF9" w:rsidRPr="00222AF9" w:rsidRDefault="00D52EE3">
          <w:pPr>
            <w:pStyle w:val="TOC1"/>
            <w:rPr>
              <w:rFonts w:asciiTheme="minorHAnsi" w:eastAsiaTheme="minorEastAsia" w:hAnsiTheme="minorHAnsi" w:cstheme="minorBidi"/>
              <w:sz w:val="22"/>
              <w:szCs w:val="22"/>
              <w:lang w:val="en-US" w:eastAsia="en-US"/>
            </w:rPr>
          </w:pPr>
          <w:r w:rsidRPr="00222AF9">
            <w:rPr>
              <w:highlight w:val="yellow"/>
            </w:rPr>
            <w:fldChar w:fldCharType="begin"/>
          </w:r>
          <w:r w:rsidRPr="00222AF9">
            <w:rPr>
              <w:highlight w:val="yellow"/>
            </w:rPr>
            <w:instrText xml:space="preserve"> TOC \o "1-3" \h \z \u </w:instrText>
          </w:r>
          <w:r w:rsidRPr="00222AF9">
            <w:rPr>
              <w:highlight w:val="yellow"/>
            </w:rPr>
            <w:fldChar w:fldCharType="separate"/>
          </w:r>
          <w:hyperlink w:anchor="_Toc375572487" w:history="1">
            <w:r w:rsidR="00222AF9" w:rsidRPr="006D3478">
              <w:rPr>
                <w:rStyle w:val="Hyperlink"/>
                <w:b/>
              </w:rPr>
              <w:t>1</w:t>
            </w:r>
            <w:r w:rsidR="00222AF9" w:rsidRPr="00222AF9">
              <w:rPr>
                <w:rFonts w:asciiTheme="minorHAnsi" w:eastAsiaTheme="minorEastAsia" w:hAnsiTheme="minorHAnsi" w:cstheme="minorBidi"/>
                <w:sz w:val="22"/>
                <w:szCs w:val="22"/>
                <w:lang w:val="en-US" w:eastAsia="en-US"/>
              </w:rPr>
              <w:tab/>
            </w:r>
            <w:r w:rsidR="00222AF9" w:rsidRPr="00446D58">
              <w:rPr>
                <w:rStyle w:val="Hyperlink"/>
                <w:b/>
              </w:rPr>
              <w:t>Introduction</w:t>
            </w:r>
            <w:r w:rsidR="00C1781E">
              <w:rPr>
                <w:rStyle w:val="Hyperlink"/>
                <w:b/>
              </w:rPr>
              <w:tab/>
            </w:r>
            <w:r w:rsidR="00C1781E">
              <w:rPr>
                <w:rStyle w:val="Hyperlink"/>
                <w:b/>
              </w:rPr>
              <w:tab/>
            </w:r>
            <w:r w:rsidR="00222AF9" w:rsidRPr="00222AF9">
              <w:rPr>
                <w:webHidden/>
              </w:rPr>
              <w:fldChar w:fldCharType="begin"/>
            </w:r>
            <w:r w:rsidR="00222AF9" w:rsidRPr="00222AF9">
              <w:rPr>
                <w:webHidden/>
              </w:rPr>
              <w:instrText xml:space="preserve"> PAGEREF _Toc375572487 \h </w:instrText>
            </w:r>
            <w:r w:rsidR="00222AF9" w:rsidRPr="00222AF9">
              <w:rPr>
                <w:webHidden/>
              </w:rPr>
            </w:r>
            <w:r w:rsidR="00222AF9" w:rsidRPr="00222AF9">
              <w:rPr>
                <w:webHidden/>
              </w:rPr>
              <w:fldChar w:fldCharType="separate"/>
            </w:r>
            <w:r w:rsidR="009176F0">
              <w:rPr>
                <w:webHidden/>
              </w:rPr>
              <w:t>3</w:t>
            </w:r>
            <w:r w:rsidR="00222AF9" w:rsidRPr="00222AF9">
              <w:rPr>
                <w:webHidden/>
              </w:rPr>
              <w:fldChar w:fldCharType="end"/>
            </w:r>
          </w:hyperlink>
        </w:p>
        <w:p w14:paraId="6B867448" w14:textId="303A28B4" w:rsidR="00222AF9" w:rsidRPr="00222AF9" w:rsidRDefault="006B76BF">
          <w:pPr>
            <w:pStyle w:val="TOC1"/>
            <w:rPr>
              <w:rFonts w:asciiTheme="minorHAnsi" w:eastAsiaTheme="minorEastAsia" w:hAnsiTheme="minorHAnsi" w:cstheme="minorBidi"/>
              <w:sz w:val="22"/>
              <w:szCs w:val="22"/>
              <w:lang w:val="en-US" w:eastAsia="en-US"/>
            </w:rPr>
          </w:pPr>
          <w:hyperlink w:anchor="_Toc375572488" w:history="1">
            <w:r w:rsidR="00222AF9" w:rsidRPr="006D3478">
              <w:rPr>
                <w:rStyle w:val="Hyperlink"/>
                <w:b/>
              </w:rPr>
              <w:t>2</w:t>
            </w:r>
            <w:r w:rsidR="00222AF9" w:rsidRPr="00222AF9">
              <w:rPr>
                <w:rFonts w:asciiTheme="minorHAnsi" w:eastAsiaTheme="minorEastAsia" w:hAnsiTheme="minorHAnsi" w:cstheme="minorBidi"/>
                <w:sz w:val="22"/>
                <w:szCs w:val="22"/>
                <w:lang w:val="en-US" w:eastAsia="en-US"/>
              </w:rPr>
              <w:tab/>
            </w:r>
            <w:r w:rsidR="00222AF9" w:rsidRPr="00446D58">
              <w:rPr>
                <w:rStyle w:val="Hyperlink"/>
                <w:b/>
              </w:rPr>
              <w:t>Objectives</w:t>
            </w:r>
            <w:r w:rsidR="00C1781E">
              <w:rPr>
                <w:rStyle w:val="Hyperlink"/>
                <w:b/>
              </w:rPr>
              <w:tab/>
            </w:r>
            <w:r w:rsidR="00C1781E">
              <w:rPr>
                <w:rStyle w:val="Hyperlink"/>
                <w:b/>
              </w:rPr>
              <w:tab/>
            </w:r>
            <w:r w:rsidR="00222AF9" w:rsidRPr="00222AF9">
              <w:rPr>
                <w:webHidden/>
              </w:rPr>
              <w:fldChar w:fldCharType="begin"/>
            </w:r>
            <w:r w:rsidR="00222AF9" w:rsidRPr="00222AF9">
              <w:rPr>
                <w:webHidden/>
              </w:rPr>
              <w:instrText xml:space="preserve"> PAGEREF _Toc375572488 \h </w:instrText>
            </w:r>
            <w:r w:rsidR="00222AF9" w:rsidRPr="00222AF9">
              <w:rPr>
                <w:webHidden/>
              </w:rPr>
            </w:r>
            <w:r w:rsidR="00222AF9" w:rsidRPr="00222AF9">
              <w:rPr>
                <w:webHidden/>
              </w:rPr>
              <w:fldChar w:fldCharType="separate"/>
            </w:r>
            <w:r w:rsidR="009176F0">
              <w:rPr>
                <w:webHidden/>
              </w:rPr>
              <w:t>5</w:t>
            </w:r>
            <w:r w:rsidR="00222AF9" w:rsidRPr="00222AF9">
              <w:rPr>
                <w:webHidden/>
              </w:rPr>
              <w:fldChar w:fldCharType="end"/>
            </w:r>
          </w:hyperlink>
        </w:p>
        <w:p w14:paraId="24231636" w14:textId="42385516" w:rsidR="00222AF9" w:rsidRPr="00222AF9" w:rsidRDefault="006B76BF">
          <w:pPr>
            <w:pStyle w:val="TOC2"/>
            <w:tabs>
              <w:tab w:val="left" w:pos="880"/>
              <w:tab w:val="right" w:leader="dot" w:pos="9936"/>
            </w:tabs>
            <w:rPr>
              <w:rFonts w:asciiTheme="minorHAnsi" w:eastAsiaTheme="minorEastAsia" w:hAnsiTheme="minorHAnsi" w:cstheme="minorBidi"/>
              <w:noProof/>
              <w:sz w:val="22"/>
              <w:szCs w:val="22"/>
              <w:lang w:val="en-US" w:eastAsia="en-US"/>
            </w:rPr>
          </w:pPr>
          <w:hyperlink w:anchor="_Toc375572495" w:history="1">
            <w:r w:rsidR="00222AF9" w:rsidRPr="00222AF9">
              <w:rPr>
                <w:rStyle w:val="Hyperlink"/>
                <w:noProof/>
              </w:rPr>
              <w:t>3.1</w:t>
            </w:r>
            <w:r w:rsidR="00222AF9" w:rsidRPr="00222AF9">
              <w:rPr>
                <w:rFonts w:asciiTheme="minorHAnsi" w:eastAsiaTheme="minorEastAsia" w:hAnsiTheme="minorHAnsi" w:cstheme="minorBidi"/>
                <w:noProof/>
                <w:sz w:val="22"/>
                <w:szCs w:val="22"/>
                <w:lang w:val="en-US" w:eastAsia="en-US"/>
              </w:rPr>
              <w:tab/>
            </w:r>
            <w:r w:rsidR="00222AF9" w:rsidRPr="00222AF9">
              <w:rPr>
                <w:rStyle w:val="Hyperlink"/>
                <w:noProof/>
              </w:rPr>
              <w:t>Core definitions</w:t>
            </w:r>
            <w:r w:rsidR="00C1781E">
              <w:rPr>
                <w:rStyle w:val="Hyperlink"/>
                <w:noProof/>
              </w:rPr>
              <w:tab/>
            </w:r>
            <w:r w:rsidR="00222AF9" w:rsidRPr="00222AF9">
              <w:rPr>
                <w:noProof/>
                <w:webHidden/>
              </w:rPr>
              <w:fldChar w:fldCharType="begin"/>
            </w:r>
            <w:r w:rsidR="00222AF9" w:rsidRPr="00222AF9">
              <w:rPr>
                <w:noProof/>
                <w:webHidden/>
              </w:rPr>
              <w:instrText xml:space="preserve"> PAGEREF _Toc375572495 \h </w:instrText>
            </w:r>
            <w:r w:rsidR="00222AF9" w:rsidRPr="00222AF9">
              <w:rPr>
                <w:noProof/>
                <w:webHidden/>
              </w:rPr>
            </w:r>
            <w:r w:rsidR="00222AF9" w:rsidRPr="00222AF9">
              <w:rPr>
                <w:noProof/>
                <w:webHidden/>
              </w:rPr>
              <w:fldChar w:fldCharType="separate"/>
            </w:r>
            <w:r w:rsidR="009176F0">
              <w:rPr>
                <w:noProof/>
                <w:webHidden/>
              </w:rPr>
              <w:t>5</w:t>
            </w:r>
            <w:r w:rsidR="00222AF9" w:rsidRPr="00222AF9">
              <w:rPr>
                <w:noProof/>
                <w:webHidden/>
              </w:rPr>
              <w:fldChar w:fldCharType="end"/>
            </w:r>
          </w:hyperlink>
        </w:p>
        <w:p w14:paraId="6D7556C8" w14:textId="062502B7" w:rsidR="00222AF9" w:rsidRPr="00222AF9" w:rsidRDefault="006B76BF">
          <w:pPr>
            <w:pStyle w:val="TOC2"/>
            <w:tabs>
              <w:tab w:val="left" w:pos="880"/>
              <w:tab w:val="right" w:leader="dot" w:pos="9936"/>
            </w:tabs>
            <w:rPr>
              <w:rFonts w:asciiTheme="minorHAnsi" w:eastAsiaTheme="minorEastAsia" w:hAnsiTheme="minorHAnsi" w:cstheme="minorBidi"/>
              <w:noProof/>
              <w:sz w:val="22"/>
              <w:szCs w:val="22"/>
              <w:lang w:val="en-US" w:eastAsia="en-US"/>
            </w:rPr>
          </w:pPr>
          <w:hyperlink w:anchor="_Toc375572499" w:history="1">
            <w:r w:rsidR="00222AF9" w:rsidRPr="00222AF9">
              <w:rPr>
                <w:rStyle w:val="Hyperlink"/>
                <w:noProof/>
              </w:rPr>
              <w:t>3.2</w:t>
            </w:r>
            <w:r w:rsidR="00222AF9" w:rsidRPr="00222AF9">
              <w:rPr>
                <w:rFonts w:asciiTheme="minorHAnsi" w:eastAsiaTheme="minorEastAsia" w:hAnsiTheme="minorHAnsi" w:cstheme="minorBidi"/>
                <w:noProof/>
                <w:sz w:val="22"/>
                <w:szCs w:val="22"/>
                <w:lang w:val="en-US" w:eastAsia="en-US"/>
              </w:rPr>
              <w:tab/>
            </w:r>
            <w:r w:rsidR="00222AF9" w:rsidRPr="00222AF9">
              <w:rPr>
                <w:rStyle w:val="Hyperlink"/>
                <w:noProof/>
              </w:rPr>
              <w:t>Product scope</w:t>
            </w:r>
            <w:r w:rsidR="00C1781E">
              <w:rPr>
                <w:rStyle w:val="Hyperlink"/>
                <w:noProof/>
              </w:rPr>
              <w:tab/>
            </w:r>
            <w:r w:rsidR="00222AF9" w:rsidRPr="00222AF9">
              <w:rPr>
                <w:noProof/>
                <w:webHidden/>
              </w:rPr>
              <w:fldChar w:fldCharType="begin"/>
            </w:r>
            <w:r w:rsidR="00222AF9" w:rsidRPr="00222AF9">
              <w:rPr>
                <w:noProof/>
                <w:webHidden/>
              </w:rPr>
              <w:instrText xml:space="preserve"> PAGEREF _Toc375572499 \h </w:instrText>
            </w:r>
            <w:r w:rsidR="00222AF9" w:rsidRPr="00222AF9">
              <w:rPr>
                <w:noProof/>
                <w:webHidden/>
              </w:rPr>
            </w:r>
            <w:r w:rsidR="00222AF9" w:rsidRPr="00222AF9">
              <w:rPr>
                <w:noProof/>
                <w:webHidden/>
              </w:rPr>
              <w:fldChar w:fldCharType="separate"/>
            </w:r>
            <w:r w:rsidR="009176F0">
              <w:rPr>
                <w:noProof/>
                <w:webHidden/>
              </w:rPr>
              <w:t>5</w:t>
            </w:r>
            <w:r w:rsidR="00222AF9" w:rsidRPr="00222AF9">
              <w:rPr>
                <w:noProof/>
                <w:webHidden/>
              </w:rPr>
              <w:fldChar w:fldCharType="end"/>
            </w:r>
          </w:hyperlink>
        </w:p>
        <w:p w14:paraId="7676CF91" w14:textId="4DEF3488" w:rsidR="00222AF9" w:rsidRPr="00222AF9" w:rsidRDefault="006B76BF">
          <w:pPr>
            <w:pStyle w:val="TOC1"/>
            <w:rPr>
              <w:rFonts w:asciiTheme="minorHAnsi" w:eastAsiaTheme="minorEastAsia" w:hAnsiTheme="minorHAnsi" w:cstheme="minorBidi"/>
              <w:sz w:val="22"/>
              <w:szCs w:val="22"/>
              <w:lang w:val="en-US" w:eastAsia="en-US"/>
            </w:rPr>
          </w:pPr>
          <w:hyperlink w:anchor="_Toc375572506" w:history="1">
            <w:r w:rsidR="00222AF9" w:rsidRPr="006D3478">
              <w:rPr>
                <w:rStyle w:val="Hyperlink"/>
                <w:b/>
              </w:rPr>
              <w:t>4</w:t>
            </w:r>
            <w:r w:rsidR="00222AF9" w:rsidRPr="00222AF9">
              <w:rPr>
                <w:rFonts w:asciiTheme="minorHAnsi" w:eastAsiaTheme="minorEastAsia" w:hAnsiTheme="minorHAnsi" w:cstheme="minorBidi"/>
                <w:sz w:val="22"/>
                <w:szCs w:val="22"/>
                <w:lang w:val="en-US" w:eastAsia="en-US"/>
              </w:rPr>
              <w:tab/>
            </w:r>
            <w:r w:rsidR="00222AF9" w:rsidRPr="00446D58">
              <w:rPr>
                <w:rStyle w:val="Hyperlink"/>
                <w:b/>
              </w:rPr>
              <w:t xml:space="preserve">Commitments Part I – </w:t>
            </w:r>
            <w:r w:rsidR="00222AF9" w:rsidRPr="005C5AF1">
              <w:rPr>
                <w:rStyle w:val="Hyperlink"/>
                <w:b/>
                <w:highlight w:val="yellow"/>
              </w:rPr>
              <w:t>Primary</w:t>
            </w:r>
            <w:r w:rsidR="00222AF9" w:rsidRPr="00446D58">
              <w:rPr>
                <w:rStyle w:val="Hyperlink"/>
                <w:b/>
              </w:rPr>
              <w:t xml:space="preserve"> Design Requirements</w:t>
            </w:r>
            <w:r w:rsidR="00C1781E">
              <w:rPr>
                <w:rStyle w:val="Hyperlink"/>
                <w:b/>
              </w:rPr>
              <w:tab/>
            </w:r>
            <w:r w:rsidR="00C1781E">
              <w:rPr>
                <w:rStyle w:val="Hyperlink"/>
                <w:b/>
              </w:rPr>
              <w:tab/>
            </w:r>
            <w:r w:rsidR="00222AF9" w:rsidRPr="00222AF9">
              <w:rPr>
                <w:webHidden/>
              </w:rPr>
              <w:fldChar w:fldCharType="begin"/>
            </w:r>
            <w:r w:rsidR="00222AF9" w:rsidRPr="00222AF9">
              <w:rPr>
                <w:webHidden/>
              </w:rPr>
              <w:instrText xml:space="preserve"> PAGEREF _Toc375572506 \h </w:instrText>
            </w:r>
            <w:r w:rsidR="00222AF9" w:rsidRPr="00222AF9">
              <w:rPr>
                <w:webHidden/>
              </w:rPr>
            </w:r>
            <w:r w:rsidR="00222AF9" w:rsidRPr="00222AF9">
              <w:rPr>
                <w:webHidden/>
              </w:rPr>
              <w:fldChar w:fldCharType="separate"/>
            </w:r>
            <w:r w:rsidR="009176F0">
              <w:rPr>
                <w:webHidden/>
              </w:rPr>
              <w:t>6</w:t>
            </w:r>
            <w:r w:rsidR="00222AF9" w:rsidRPr="00222AF9">
              <w:rPr>
                <w:webHidden/>
              </w:rPr>
              <w:fldChar w:fldCharType="end"/>
            </w:r>
          </w:hyperlink>
        </w:p>
        <w:p w14:paraId="7A3339CE" w14:textId="7C6BF68E" w:rsidR="00222AF9" w:rsidRPr="00222AF9" w:rsidRDefault="006B76BF">
          <w:pPr>
            <w:pStyle w:val="TOC1"/>
            <w:rPr>
              <w:rFonts w:asciiTheme="minorHAnsi" w:eastAsiaTheme="minorEastAsia" w:hAnsiTheme="minorHAnsi" w:cstheme="minorBidi"/>
              <w:sz w:val="22"/>
              <w:szCs w:val="22"/>
              <w:lang w:val="en-US" w:eastAsia="en-US"/>
            </w:rPr>
          </w:pPr>
          <w:hyperlink w:anchor="_Toc375572513" w:history="1">
            <w:r w:rsidR="00222AF9" w:rsidRPr="006D3478">
              <w:rPr>
                <w:rStyle w:val="Hyperlink"/>
                <w:b/>
              </w:rPr>
              <w:t>5</w:t>
            </w:r>
            <w:r w:rsidR="00222AF9" w:rsidRPr="00222AF9">
              <w:rPr>
                <w:rFonts w:asciiTheme="minorHAnsi" w:eastAsiaTheme="minorEastAsia" w:hAnsiTheme="minorHAnsi" w:cstheme="minorBidi"/>
                <w:sz w:val="22"/>
                <w:szCs w:val="22"/>
                <w:lang w:val="en-US" w:eastAsia="en-US"/>
              </w:rPr>
              <w:tab/>
            </w:r>
            <w:r w:rsidR="00222AF9" w:rsidRPr="005C5AF1">
              <w:rPr>
                <w:rStyle w:val="Hyperlink"/>
                <w:b/>
                <w:highlight w:val="yellow"/>
              </w:rPr>
              <w:t>Commitments Part II – Other Resource Efficiency Requirements</w:t>
            </w:r>
            <w:r w:rsidR="00C1781E">
              <w:rPr>
                <w:rStyle w:val="Hyperlink"/>
                <w:b/>
              </w:rPr>
              <w:tab/>
            </w:r>
            <w:r w:rsidR="00C1781E">
              <w:rPr>
                <w:rStyle w:val="Hyperlink"/>
                <w:b/>
              </w:rPr>
              <w:tab/>
            </w:r>
            <w:r w:rsidR="00222AF9" w:rsidRPr="00222AF9">
              <w:rPr>
                <w:webHidden/>
              </w:rPr>
              <w:fldChar w:fldCharType="begin"/>
            </w:r>
            <w:r w:rsidR="00222AF9" w:rsidRPr="00222AF9">
              <w:rPr>
                <w:webHidden/>
              </w:rPr>
              <w:instrText xml:space="preserve"> PAGEREF _Toc375572513 \h </w:instrText>
            </w:r>
            <w:r w:rsidR="00222AF9" w:rsidRPr="00222AF9">
              <w:rPr>
                <w:webHidden/>
              </w:rPr>
            </w:r>
            <w:r w:rsidR="00222AF9" w:rsidRPr="00222AF9">
              <w:rPr>
                <w:webHidden/>
              </w:rPr>
              <w:fldChar w:fldCharType="separate"/>
            </w:r>
            <w:r w:rsidR="009176F0">
              <w:rPr>
                <w:webHidden/>
              </w:rPr>
              <w:t>7</w:t>
            </w:r>
            <w:r w:rsidR="00222AF9" w:rsidRPr="00222AF9">
              <w:rPr>
                <w:webHidden/>
              </w:rPr>
              <w:fldChar w:fldCharType="end"/>
            </w:r>
          </w:hyperlink>
        </w:p>
        <w:p w14:paraId="1A3D8B6D" w14:textId="5DACE15D" w:rsidR="00222AF9" w:rsidRPr="00222AF9" w:rsidRDefault="006B76BF">
          <w:pPr>
            <w:pStyle w:val="TOC2"/>
            <w:tabs>
              <w:tab w:val="left" w:pos="880"/>
              <w:tab w:val="right" w:leader="dot" w:pos="9936"/>
            </w:tabs>
            <w:rPr>
              <w:rFonts w:asciiTheme="minorHAnsi" w:eastAsiaTheme="minorEastAsia" w:hAnsiTheme="minorHAnsi" w:cstheme="minorBidi"/>
              <w:noProof/>
              <w:sz w:val="22"/>
              <w:szCs w:val="22"/>
              <w:lang w:val="en-US" w:eastAsia="en-US"/>
            </w:rPr>
          </w:pPr>
          <w:r>
            <w:fldChar w:fldCharType="begin"/>
          </w:r>
          <w:r>
            <w:instrText xml:space="preserve"> HYPERLINK \l "_Toc375572514" </w:instrText>
          </w:r>
          <w:r>
            <w:fldChar w:fldCharType="separate"/>
          </w:r>
          <w:r w:rsidR="00222AF9" w:rsidRPr="00222AF9">
            <w:rPr>
              <w:rStyle w:val="Hyperlink"/>
              <w:noProof/>
            </w:rPr>
            <w:t>5.1</w:t>
          </w:r>
          <w:r w:rsidR="00222AF9" w:rsidRPr="00222AF9">
            <w:rPr>
              <w:rFonts w:asciiTheme="minorHAnsi" w:eastAsiaTheme="minorEastAsia" w:hAnsiTheme="minorHAnsi" w:cstheme="minorBidi"/>
              <w:noProof/>
              <w:sz w:val="22"/>
              <w:szCs w:val="22"/>
              <w:lang w:val="en-US" w:eastAsia="en-US"/>
            </w:rPr>
            <w:tab/>
          </w:r>
          <w:r w:rsidR="00222AF9" w:rsidRPr="00222AF9">
            <w:rPr>
              <w:rStyle w:val="Hyperlink"/>
              <w:noProof/>
            </w:rPr>
            <w:t>Availability of N-up printing</w:t>
          </w:r>
          <w:bookmarkStart w:id="2" w:name="_GoBack"/>
          <w:bookmarkEnd w:id="2"/>
          <w:r w:rsidR="003077F1">
            <w:rPr>
              <w:noProof/>
              <w:webHidden/>
            </w:rPr>
            <w:t>……………………………………………………….</w:t>
          </w:r>
          <w:r w:rsidR="00C1781E">
            <w:rPr>
              <w:noProof/>
              <w:webHidden/>
            </w:rPr>
            <w:t xml:space="preserve">         </w:t>
          </w:r>
          <w:r w:rsidR="00C1781E">
            <w:rPr>
              <w:noProof/>
              <w:webHidden/>
            </w:rPr>
            <w:tab/>
          </w:r>
          <w:r w:rsidR="00222AF9" w:rsidRPr="00222AF9">
            <w:rPr>
              <w:noProof/>
              <w:webHidden/>
            </w:rPr>
            <w:fldChar w:fldCharType="begin"/>
          </w:r>
          <w:r w:rsidR="00222AF9" w:rsidRPr="00222AF9">
            <w:rPr>
              <w:noProof/>
              <w:webHidden/>
            </w:rPr>
            <w:instrText xml:space="preserve"> PAGEREF _Toc375572514 \h </w:instrText>
          </w:r>
          <w:r w:rsidR="00222AF9" w:rsidRPr="00222AF9">
            <w:rPr>
              <w:noProof/>
              <w:webHidden/>
            </w:rPr>
          </w:r>
          <w:r w:rsidR="00222AF9" w:rsidRPr="00222AF9">
            <w:rPr>
              <w:noProof/>
              <w:webHidden/>
            </w:rPr>
            <w:fldChar w:fldCharType="separate"/>
          </w:r>
          <w:r w:rsidR="009176F0">
            <w:rPr>
              <w:noProof/>
              <w:webHidden/>
            </w:rPr>
            <w:t>7</w:t>
          </w:r>
          <w:r w:rsidR="00222AF9" w:rsidRPr="00222AF9">
            <w:rPr>
              <w:noProof/>
              <w:webHidden/>
            </w:rPr>
            <w:fldChar w:fldCharType="end"/>
          </w:r>
          <w:r>
            <w:rPr>
              <w:noProof/>
            </w:rPr>
            <w:fldChar w:fldCharType="end"/>
          </w:r>
        </w:p>
        <w:p w14:paraId="024D994E" w14:textId="6BBFB9BE" w:rsidR="00222AF9" w:rsidRPr="00222AF9" w:rsidRDefault="006B76BF">
          <w:pPr>
            <w:pStyle w:val="TOC2"/>
            <w:tabs>
              <w:tab w:val="right" w:leader="dot" w:pos="9936"/>
            </w:tabs>
            <w:rPr>
              <w:rFonts w:asciiTheme="minorHAnsi" w:eastAsiaTheme="minorEastAsia" w:hAnsiTheme="minorHAnsi" w:cstheme="minorBidi"/>
              <w:noProof/>
              <w:sz w:val="22"/>
              <w:szCs w:val="22"/>
              <w:lang w:val="en-US" w:eastAsia="en-US"/>
            </w:rPr>
          </w:pPr>
          <w:hyperlink w:anchor="_Toc375572516" w:history="1">
            <w:r w:rsidR="00222AF9" w:rsidRPr="00222AF9">
              <w:rPr>
                <w:rStyle w:val="Hyperlink"/>
                <w:noProof/>
              </w:rPr>
              <w:t xml:space="preserve">5.2 </w:t>
            </w:r>
            <w:r w:rsidR="006D3478">
              <w:rPr>
                <w:rStyle w:val="Hyperlink"/>
                <w:noProof/>
              </w:rPr>
              <w:t xml:space="preserve">      </w:t>
            </w:r>
            <w:r w:rsidR="00222AF9" w:rsidRPr="00222AF9">
              <w:rPr>
                <w:rStyle w:val="Hyperlink"/>
                <w:noProof/>
              </w:rPr>
              <w:t>Design for recycling</w:t>
            </w:r>
            <w:r w:rsidR="00C1781E">
              <w:rPr>
                <w:rStyle w:val="Hyperlink"/>
                <w:noProof/>
                <w:webHidden/>
              </w:rPr>
              <w:tab/>
            </w:r>
            <w:r w:rsidR="00222AF9" w:rsidRPr="00222AF9">
              <w:rPr>
                <w:noProof/>
                <w:webHidden/>
              </w:rPr>
              <w:fldChar w:fldCharType="begin"/>
            </w:r>
            <w:r w:rsidR="00222AF9" w:rsidRPr="00222AF9">
              <w:rPr>
                <w:noProof/>
                <w:webHidden/>
              </w:rPr>
              <w:instrText xml:space="preserve"> PAGEREF _Toc375572516 \h </w:instrText>
            </w:r>
            <w:r w:rsidR="00222AF9" w:rsidRPr="00222AF9">
              <w:rPr>
                <w:noProof/>
                <w:webHidden/>
              </w:rPr>
            </w:r>
            <w:r w:rsidR="00222AF9" w:rsidRPr="00222AF9">
              <w:rPr>
                <w:noProof/>
                <w:webHidden/>
              </w:rPr>
              <w:fldChar w:fldCharType="separate"/>
            </w:r>
            <w:r w:rsidR="009176F0">
              <w:rPr>
                <w:noProof/>
                <w:webHidden/>
              </w:rPr>
              <w:t>7</w:t>
            </w:r>
            <w:r w:rsidR="00222AF9" w:rsidRPr="00222AF9">
              <w:rPr>
                <w:noProof/>
                <w:webHidden/>
              </w:rPr>
              <w:fldChar w:fldCharType="end"/>
            </w:r>
          </w:hyperlink>
        </w:p>
        <w:p w14:paraId="75FEE879" w14:textId="04F8BECB" w:rsidR="00222AF9" w:rsidRPr="00222AF9" w:rsidRDefault="006B76BF">
          <w:pPr>
            <w:pStyle w:val="TOC2"/>
            <w:tabs>
              <w:tab w:val="left" w:pos="880"/>
              <w:tab w:val="right" w:leader="dot" w:pos="9936"/>
            </w:tabs>
            <w:rPr>
              <w:rFonts w:asciiTheme="minorHAnsi" w:eastAsiaTheme="minorEastAsia" w:hAnsiTheme="minorHAnsi" w:cstheme="minorBidi"/>
              <w:noProof/>
              <w:sz w:val="22"/>
              <w:szCs w:val="22"/>
              <w:lang w:val="en-US" w:eastAsia="en-US"/>
            </w:rPr>
          </w:pPr>
          <w:hyperlink w:anchor="_Toc375572517" w:history="1">
            <w:r w:rsidR="00222AF9" w:rsidRPr="00222AF9">
              <w:rPr>
                <w:rStyle w:val="Hyperlink"/>
                <w:noProof/>
              </w:rPr>
              <w:t>5.3</w:t>
            </w:r>
            <w:r w:rsidR="00222AF9" w:rsidRPr="00222AF9">
              <w:rPr>
                <w:rFonts w:asciiTheme="minorHAnsi" w:eastAsiaTheme="minorEastAsia" w:hAnsiTheme="minorHAnsi" w:cstheme="minorBidi"/>
                <w:noProof/>
                <w:sz w:val="22"/>
                <w:szCs w:val="22"/>
                <w:lang w:val="en-US" w:eastAsia="en-US"/>
              </w:rPr>
              <w:tab/>
            </w:r>
            <w:r w:rsidR="00222AF9" w:rsidRPr="00222AF9">
              <w:rPr>
                <w:rStyle w:val="Hyperlink"/>
                <w:noProof/>
              </w:rPr>
              <w:t>Polymer composition</w:t>
            </w:r>
            <w:r w:rsidR="00C1781E">
              <w:rPr>
                <w:rStyle w:val="Hyperlink"/>
                <w:noProof/>
              </w:rPr>
              <w:tab/>
            </w:r>
            <w:r w:rsidR="00222AF9" w:rsidRPr="00222AF9">
              <w:rPr>
                <w:noProof/>
                <w:webHidden/>
              </w:rPr>
              <w:fldChar w:fldCharType="begin"/>
            </w:r>
            <w:r w:rsidR="00222AF9" w:rsidRPr="00222AF9">
              <w:rPr>
                <w:noProof/>
                <w:webHidden/>
              </w:rPr>
              <w:instrText xml:space="preserve"> PAGEREF _Toc375572517 \h </w:instrText>
            </w:r>
            <w:r w:rsidR="00222AF9" w:rsidRPr="00222AF9">
              <w:rPr>
                <w:noProof/>
                <w:webHidden/>
              </w:rPr>
            </w:r>
            <w:r w:rsidR="00222AF9" w:rsidRPr="00222AF9">
              <w:rPr>
                <w:noProof/>
                <w:webHidden/>
              </w:rPr>
              <w:fldChar w:fldCharType="separate"/>
            </w:r>
            <w:r w:rsidR="009176F0">
              <w:rPr>
                <w:noProof/>
                <w:webHidden/>
              </w:rPr>
              <w:t>8</w:t>
            </w:r>
            <w:r w:rsidR="00222AF9" w:rsidRPr="00222AF9">
              <w:rPr>
                <w:noProof/>
                <w:webHidden/>
              </w:rPr>
              <w:fldChar w:fldCharType="end"/>
            </w:r>
          </w:hyperlink>
        </w:p>
        <w:p w14:paraId="03F162F4" w14:textId="77777777" w:rsidR="00222AF9" w:rsidRPr="00222AF9" w:rsidRDefault="006B76BF">
          <w:pPr>
            <w:pStyle w:val="TOC2"/>
            <w:tabs>
              <w:tab w:val="left" w:pos="880"/>
              <w:tab w:val="right" w:leader="dot" w:pos="9936"/>
            </w:tabs>
            <w:rPr>
              <w:rFonts w:asciiTheme="minorHAnsi" w:eastAsiaTheme="minorEastAsia" w:hAnsiTheme="minorHAnsi" w:cstheme="minorBidi"/>
              <w:noProof/>
              <w:sz w:val="22"/>
              <w:szCs w:val="22"/>
              <w:lang w:val="en-US" w:eastAsia="en-US"/>
            </w:rPr>
          </w:pPr>
          <w:hyperlink w:anchor="_Toc375572519" w:history="1">
            <w:r w:rsidR="00222AF9" w:rsidRPr="00222AF9">
              <w:rPr>
                <w:rStyle w:val="Hyperlink"/>
                <w:noProof/>
              </w:rPr>
              <w:t>5.4</w:t>
            </w:r>
            <w:r w:rsidR="00222AF9" w:rsidRPr="00222AF9">
              <w:rPr>
                <w:rFonts w:asciiTheme="minorHAnsi" w:eastAsiaTheme="minorEastAsia" w:hAnsiTheme="minorHAnsi" w:cstheme="minorBidi"/>
                <w:noProof/>
                <w:sz w:val="22"/>
                <w:szCs w:val="22"/>
                <w:lang w:val="en-US" w:eastAsia="en-US"/>
              </w:rPr>
              <w:tab/>
            </w:r>
            <w:r w:rsidR="00222AF9" w:rsidRPr="00222AF9">
              <w:rPr>
                <w:rStyle w:val="Hyperlink"/>
                <w:noProof/>
              </w:rPr>
              <w:t>Cartridges</w:t>
            </w:r>
            <w:r w:rsidR="00222AF9" w:rsidRPr="00222AF9">
              <w:rPr>
                <w:noProof/>
                <w:webHidden/>
              </w:rPr>
              <w:tab/>
            </w:r>
            <w:r w:rsidR="00222AF9" w:rsidRPr="00222AF9">
              <w:rPr>
                <w:noProof/>
                <w:webHidden/>
              </w:rPr>
              <w:fldChar w:fldCharType="begin"/>
            </w:r>
            <w:r w:rsidR="00222AF9" w:rsidRPr="00222AF9">
              <w:rPr>
                <w:noProof/>
                <w:webHidden/>
              </w:rPr>
              <w:instrText xml:space="preserve"> PAGEREF _Toc375572519 \h </w:instrText>
            </w:r>
            <w:r w:rsidR="00222AF9" w:rsidRPr="00222AF9">
              <w:rPr>
                <w:noProof/>
                <w:webHidden/>
              </w:rPr>
            </w:r>
            <w:r w:rsidR="00222AF9" w:rsidRPr="00222AF9">
              <w:rPr>
                <w:noProof/>
                <w:webHidden/>
              </w:rPr>
              <w:fldChar w:fldCharType="separate"/>
            </w:r>
            <w:r w:rsidR="009176F0">
              <w:rPr>
                <w:noProof/>
                <w:webHidden/>
              </w:rPr>
              <w:t>8</w:t>
            </w:r>
            <w:r w:rsidR="00222AF9" w:rsidRPr="00222AF9">
              <w:rPr>
                <w:noProof/>
                <w:webHidden/>
              </w:rPr>
              <w:fldChar w:fldCharType="end"/>
            </w:r>
          </w:hyperlink>
        </w:p>
        <w:p w14:paraId="0D857E9B" w14:textId="77777777" w:rsidR="00222AF9" w:rsidRPr="00222AF9" w:rsidRDefault="006B76BF">
          <w:pPr>
            <w:pStyle w:val="TOC2"/>
            <w:tabs>
              <w:tab w:val="left" w:pos="880"/>
              <w:tab w:val="right" w:leader="dot" w:pos="9936"/>
            </w:tabs>
            <w:rPr>
              <w:rFonts w:asciiTheme="minorHAnsi" w:eastAsiaTheme="minorEastAsia" w:hAnsiTheme="minorHAnsi" w:cstheme="minorBidi"/>
              <w:noProof/>
              <w:sz w:val="22"/>
              <w:szCs w:val="22"/>
              <w:lang w:val="en-US" w:eastAsia="en-US"/>
            </w:rPr>
          </w:pPr>
          <w:hyperlink w:anchor="_Toc375572524" w:history="1">
            <w:r w:rsidR="00222AF9" w:rsidRPr="00222AF9">
              <w:rPr>
                <w:rStyle w:val="Hyperlink"/>
                <w:noProof/>
              </w:rPr>
              <w:t>5.5</w:t>
            </w:r>
            <w:r w:rsidR="00222AF9" w:rsidRPr="00222AF9">
              <w:rPr>
                <w:rFonts w:asciiTheme="minorHAnsi" w:eastAsiaTheme="minorEastAsia" w:hAnsiTheme="minorHAnsi" w:cstheme="minorBidi"/>
                <w:noProof/>
                <w:sz w:val="22"/>
                <w:szCs w:val="22"/>
                <w:lang w:val="en-US" w:eastAsia="en-US"/>
              </w:rPr>
              <w:tab/>
            </w:r>
            <w:r w:rsidR="00222AF9" w:rsidRPr="00222AF9">
              <w:rPr>
                <w:rStyle w:val="Hyperlink"/>
                <w:noProof/>
              </w:rPr>
              <w:t>Recycled plastic content</w:t>
            </w:r>
            <w:r w:rsidR="00222AF9" w:rsidRPr="00222AF9">
              <w:rPr>
                <w:noProof/>
                <w:webHidden/>
              </w:rPr>
              <w:tab/>
            </w:r>
            <w:r w:rsidR="00222AF9" w:rsidRPr="00222AF9">
              <w:rPr>
                <w:noProof/>
                <w:webHidden/>
              </w:rPr>
              <w:fldChar w:fldCharType="begin"/>
            </w:r>
            <w:r w:rsidR="00222AF9" w:rsidRPr="00222AF9">
              <w:rPr>
                <w:noProof/>
                <w:webHidden/>
              </w:rPr>
              <w:instrText xml:space="preserve"> PAGEREF _Toc375572524 \h </w:instrText>
            </w:r>
            <w:r w:rsidR="00222AF9" w:rsidRPr="00222AF9">
              <w:rPr>
                <w:noProof/>
                <w:webHidden/>
              </w:rPr>
            </w:r>
            <w:r w:rsidR="00222AF9" w:rsidRPr="00222AF9">
              <w:rPr>
                <w:noProof/>
                <w:webHidden/>
              </w:rPr>
              <w:fldChar w:fldCharType="separate"/>
            </w:r>
            <w:r w:rsidR="009176F0">
              <w:rPr>
                <w:noProof/>
                <w:webHidden/>
              </w:rPr>
              <w:t>8</w:t>
            </w:r>
            <w:r w:rsidR="00222AF9" w:rsidRPr="00222AF9">
              <w:rPr>
                <w:noProof/>
                <w:webHidden/>
              </w:rPr>
              <w:fldChar w:fldCharType="end"/>
            </w:r>
          </w:hyperlink>
        </w:p>
        <w:p w14:paraId="7135AAF1" w14:textId="77777777" w:rsidR="00222AF9" w:rsidRPr="00222AF9" w:rsidRDefault="006B76BF">
          <w:pPr>
            <w:pStyle w:val="TOC1"/>
            <w:rPr>
              <w:rFonts w:asciiTheme="minorHAnsi" w:eastAsiaTheme="minorEastAsia" w:hAnsiTheme="minorHAnsi" w:cstheme="minorBidi"/>
              <w:sz w:val="22"/>
              <w:szCs w:val="22"/>
              <w:lang w:val="en-US" w:eastAsia="en-US"/>
            </w:rPr>
          </w:pPr>
          <w:hyperlink w:anchor="_Toc375572527" w:history="1">
            <w:r w:rsidR="00222AF9" w:rsidRPr="006D3478">
              <w:rPr>
                <w:rStyle w:val="Hyperlink"/>
                <w:b/>
              </w:rPr>
              <w:t>6</w:t>
            </w:r>
            <w:r w:rsidR="00222AF9" w:rsidRPr="00222AF9">
              <w:rPr>
                <w:rFonts w:asciiTheme="minorHAnsi" w:eastAsiaTheme="minorEastAsia" w:hAnsiTheme="minorHAnsi" w:cstheme="minorBidi"/>
                <w:sz w:val="22"/>
                <w:szCs w:val="22"/>
                <w:lang w:val="en-US" w:eastAsia="en-US"/>
              </w:rPr>
              <w:tab/>
            </w:r>
            <w:r w:rsidR="00222AF9" w:rsidRPr="006D3478">
              <w:rPr>
                <w:rStyle w:val="Hyperlink"/>
                <w:b/>
              </w:rPr>
              <w:t xml:space="preserve">Commitments Part </w:t>
            </w:r>
            <w:r w:rsidR="00222AF9" w:rsidRPr="005C5AF1">
              <w:rPr>
                <w:rStyle w:val="Hyperlink"/>
                <w:b/>
                <w:highlight w:val="yellow"/>
              </w:rPr>
              <w:t>III</w:t>
            </w:r>
            <w:r w:rsidR="00222AF9" w:rsidRPr="006D3478">
              <w:rPr>
                <w:rStyle w:val="Hyperlink"/>
                <w:b/>
              </w:rPr>
              <w:t xml:space="preserve"> – Information Requirements for </w:t>
            </w:r>
            <w:r w:rsidR="00222AF9" w:rsidRPr="005C5AF1">
              <w:rPr>
                <w:rStyle w:val="Hyperlink"/>
                <w:b/>
                <w:highlight w:val="yellow"/>
              </w:rPr>
              <w:t>End-Users</w:t>
            </w:r>
            <w:r w:rsidR="00222AF9" w:rsidRPr="00222AF9">
              <w:rPr>
                <w:webHidden/>
              </w:rPr>
              <w:tab/>
            </w:r>
            <w:r w:rsidR="00222AF9" w:rsidRPr="00222AF9">
              <w:rPr>
                <w:webHidden/>
              </w:rPr>
              <w:fldChar w:fldCharType="begin"/>
            </w:r>
            <w:r w:rsidR="00222AF9" w:rsidRPr="00222AF9">
              <w:rPr>
                <w:webHidden/>
              </w:rPr>
              <w:instrText xml:space="preserve"> PAGEREF _Toc375572527 \h </w:instrText>
            </w:r>
            <w:r w:rsidR="00222AF9" w:rsidRPr="00222AF9">
              <w:rPr>
                <w:webHidden/>
              </w:rPr>
            </w:r>
            <w:r w:rsidR="00222AF9" w:rsidRPr="00222AF9">
              <w:rPr>
                <w:webHidden/>
              </w:rPr>
              <w:fldChar w:fldCharType="separate"/>
            </w:r>
            <w:r w:rsidR="009176F0">
              <w:rPr>
                <w:webHidden/>
              </w:rPr>
              <w:t>8</w:t>
            </w:r>
            <w:r w:rsidR="00222AF9" w:rsidRPr="00222AF9">
              <w:rPr>
                <w:webHidden/>
              </w:rPr>
              <w:fldChar w:fldCharType="end"/>
            </w:r>
          </w:hyperlink>
        </w:p>
        <w:p w14:paraId="1E8EF9E1" w14:textId="77777777" w:rsidR="00222AF9" w:rsidRPr="00222AF9" w:rsidRDefault="006B76BF">
          <w:pPr>
            <w:pStyle w:val="TOC2"/>
            <w:tabs>
              <w:tab w:val="left" w:pos="880"/>
              <w:tab w:val="right" w:leader="dot" w:pos="9936"/>
            </w:tabs>
            <w:rPr>
              <w:rFonts w:asciiTheme="minorHAnsi" w:eastAsiaTheme="minorEastAsia" w:hAnsiTheme="minorHAnsi" w:cstheme="minorBidi"/>
              <w:noProof/>
              <w:sz w:val="22"/>
              <w:szCs w:val="22"/>
              <w:lang w:val="en-US" w:eastAsia="en-US"/>
            </w:rPr>
          </w:pPr>
          <w:hyperlink w:anchor="_Toc375572529" w:history="1">
            <w:r w:rsidR="00222AF9" w:rsidRPr="00222AF9">
              <w:rPr>
                <w:rStyle w:val="Hyperlink"/>
                <w:noProof/>
              </w:rPr>
              <w:t>6.1</w:t>
            </w:r>
            <w:r w:rsidR="00222AF9" w:rsidRPr="00222AF9">
              <w:rPr>
                <w:rFonts w:asciiTheme="minorHAnsi" w:eastAsiaTheme="minorEastAsia" w:hAnsiTheme="minorHAnsi" w:cstheme="minorBidi"/>
                <w:noProof/>
                <w:sz w:val="22"/>
                <w:szCs w:val="22"/>
                <w:lang w:val="en-US" w:eastAsia="en-US"/>
              </w:rPr>
              <w:tab/>
            </w:r>
            <w:r w:rsidR="00222AF9" w:rsidRPr="00222AF9">
              <w:rPr>
                <w:rStyle w:val="Hyperlink"/>
                <w:noProof/>
              </w:rPr>
              <w:t>Resource efficiency and energy efficiency</w:t>
            </w:r>
            <w:r w:rsidR="00222AF9" w:rsidRPr="00222AF9">
              <w:rPr>
                <w:noProof/>
                <w:webHidden/>
              </w:rPr>
              <w:tab/>
            </w:r>
            <w:r w:rsidR="00222AF9" w:rsidRPr="00222AF9">
              <w:rPr>
                <w:noProof/>
                <w:webHidden/>
              </w:rPr>
              <w:fldChar w:fldCharType="begin"/>
            </w:r>
            <w:r w:rsidR="00222AF9" w:rsidRPr="00222AF9">
              <w:rPr>
                <w:noProof/>
                <w:webHidden/>
              </w:rPr>
              <w:instrText xml:space="preserve"> PAGEREF _Toc375572529 \h </w:instrText>
            </w:r>
            <w:r w:rsidR="00222AF9" w:rsidRPr="00222AF9">
              <w:rPr>
                <w:noProof/>
                <w:webHidden/>
              </w:rPr>
            </w:r>
            <w:r w:rsidR="00222AF9" w:rsidRPr="00222AF9">
              <w:rPr>
                <w:noProof/>
                <w:webHidden/>
              </w:rPr>
              <w:fldChar w:fldCharType="separate"/>
            </w:r>
            <w:r w:rsidR="009176F0">
              <w:rPr>
                <w:noProof/>
                <w:webHidden/>
              </w:rPr>
              <w:t>8</w:t>
            </w:r>
            <w:r w:rsidR="00222AF9" w:rsidRPr="00222AF9">
              <w:rPr>
                <w:noProof/>
                <w:webHidden/>
              </w:rPr>
              <w:fldChar w:fldCharType="end"/>
            </w:r>
          </w:hyperlink>
        </w:p>
        <w:p w14:paraId="02FAE73C" w14:textId="77777777" w:rsidR="00222AF9" w:rsidRPr="00222AF9" w:rsidRDefault="006B76BF">
          <w:pPr>
            <w:pStyle w:val="TOC2"/>
            <w:tabs>
              <w:tab w:val="left" w:pos="880"/>
              <w:tab w:val="right" w:leader="dot" w:pos="9936"/>
            </w:tabs>
            <w:rPr>
              <w:rFonts w:asciiTheme="minorHAnsi" w:eastAsiaTheme="minorEastAsia" w:hAnsiTheme="minorHAnsi" w:cstheme="minorBidi"/>
              <w:noProof/>
              <w:sz w:val="22"/>
              <w:szCs w:val="22"/>
              <w:lang w:val="en-US" w:eastAsia="en-US"/>
            </w:rPr>
          </w:pPr>
          <w:hyperlink w:anchor="_Toc375572534" w:history="1">
            <w:r w:rsidR="00222AF9" w:rsidRPr="00222AF9">
              <w:rPr>
                <w:rStyle w:val="Hyperlink"/>
                <w:noProof/>
              </w:rPr>
              <w:t>6.2</w:t>
            </w:r>
            <w:r w:rsidR="00222AF9" w:rsidRPr="00222AF9">
              <w:rPr>
                <w:rFonts w:asciiTheme="minorHAnsi" w:eastAsiaTheme="minorEastAsia" w:hAnsiTheme="minorHAnsi" w:cstheme="minorBidi"/>
                <w:noProof/>
                <w:sz w:val="22"/>
                <w:szCs w:val="22"/>
                <w:lang w:val="en-US" w:eastAsia="en-US"/>
              </w:rPr>
              <w:tab/>
            </w:r>
            <w:r w:rsidR="00222AF9" w:rsidRPr="00222AF9">
              <w:rPr>
                <w:rStyle w:val="Hyperlink"/>
                <w:noProof/>
              </w:rPr>
              <w:t>Availability of spare parts</w:t>
            </w:r>
            <w:r w:rsidR="00222AF9" w:rsidRPr="00222AF9">
              <w:rPr>
                <w:noProof/>
                <w:webHidden/>
              </w:rPr>
              <w:tab/>
            </w:r>
            <w:r w:rsidR="00222AF9" w:rsidRPr="00222AF9">
              <w:rPr>
                <w:noProof/>
                <w:webHidden/>
              </w:rPr>
              <w:fldChar w:fldCharType="begin"/>
            </w:r>
            <w:r w:rsidR="00222AF9" w:rsidRPr="00222AF9">
              <w:rPr>
                <w:noProof/>
                <w:webHidden/>
              </w:rPr>
              <w:instrText xml:space="preserve"> PAGEREF _Toc375572534 \h </w:instrText>
            </w:r>
            <w:r w:rsidR="00222AF9" w:rsidRPr="00222AF9">
              <w:rPr>
                <w:noProof/>
                <w:webHidden/>
              </w:rPr>
            </w:r>
            <w:r w:rsidR="00222AF9" w:rsidRPr="00222AF9">
              <w:rPr>
                <w:noProof/>
                <w:webHidden/>
              </w:rPr>
              <w:fldChar w:fldCharType="separate"/>
            </w:r>
            <w:r w:rsidR="009176F0">
              <w:rPr>
                <w:noProof/>
                <w:webHidden/>
              </w:rPr>
              <w:t>9</w:t>
            </w:r>
            <w:r w:rsidR="00222AF9" w:rsidRPr="00222AF9">
              <w:rPr>
                <w:noProof/>
                <w:webHidden/>
              </w:rPr>
              <w:fldChar w:fldCharType="end"/>
            </w:r>
          </w:hyperlink>
        </w:p>
        <w:p w14:paraId="178F522F" w14:textId="77777777" w:rsidR="00222AF9" w:rsidRPr="00222AF9" w:rsidRDefault="006B76BF">
          <w:pPr>
            <w:pStyle w:val="TOC2"/>
            <w:tabs>
              <w:tab w:val="left" w:pos="880"/>
              <w:tab w:val="right" w:leader="dot" w:pos="9936"/>
            </w:tabs>
            <w:rPr>
              <w:rFonts w:asciiTheme="minorHAnsi" w:eastAsiaTheme="minorEastAsia" w:hAnsiTheme="minorHAnsi" w:cstheme="minorBidi"/>
              <w:noProof/>
              <w:sz w:val="22"/>
              <w:szCs w:val="22"/>
              <w:lang w:val="en-US" w:eastAsia="en-US"/>
            </w:rPr>
          </w:pPr>
          <w:hyperlink w:anchor="_Toc375572536" w:history="1">
            <w:r w:rsidR="00222AF9" w:rsidRPr="00222AF9">
              <w:rPr>
                <w:rStyle w:val="Hyperlink"/>
                <w:noProof/>
              </w:rPr>
              <w:t>6.3</w:t>
            </w:r>
            <w:r w:rsidR="00222AF9" w:rsidRPr="00222AF9">
              <w:rPr>
                <w:rFonts w:asciiTheme="minorHAnsi" w:eastAsiaTheme="minorEastAsia" w:hAnsiTheme="minorHAnsi" w:cstheme="minorBidi"/>
                <w:noProof/>
                <w:sz w:val="22"/>
                <w:szCs w:val="22"/>
                <w:lang w:val="en-US" w:eastAsia="en-US"/>
              </w:rPr>
              <w:tab/>
            </w:r>
            <w:r w:rsidR="00222AF9" w:rsidRPr="00222AF9">
              <w:rPr>
                <w:rStyle w:val="Hyperlink"/>
                <w:noProof/>
              </w:rPr>
              <w:t>Cartridge disposal and treatment</w:t>
            </w:r>
            <w:r w:rsidR="00222AF9" w:rsidRPr="00222AF9">
              <w:rPr>
                <w:noProof/>
                <w:webHidden/>
              </w:rPr>
              <w:tab/>
            </w:r>
            <w:r w:rsidR="00222AF9" w:rsidRPr="00222AF9">
              <w:rPr>
                <w:noProof/>
                <w:webHidden/>
              </w:rPr>
              <w:fldChar w:fldCharType="begin"/>
            </w:r>
            <w:r w:rsidR="00222AF9" w:rsidRPr="00222AF9">
              <w:rPr>
                <w:noProof/>
                <w:webHidden/>
              </w:rPr>
              <w:instrText xml:space="preserve"> PAGEREF _Toc375572536 \h </w:instrText>
            </w:r>
            <w:r w:rsidR="00222AF9" w:rsidRPr="00222AF9">
              <w:rPr>
                <w:noProof/>
                <w:webHidden/>
              </w:rPr>
            </w:r>
            <w:r w:rsidR="00222AF9" w:rsidRPr="00222AF9">
              <w:rPr>
                <w:noProof/>
                <w:webHidden/>
              </w:rPr>
              <w:fldChar w:fldCharType="separate"/>
            </w:r>
            <w:r w:rsidR="009176F0">
              <w:rPr>
                <w:noProof/>
                <w:webHidden/>
              </w:rPr>
              <w:t>9</w:t>
            </w:r>
            <w:r w:rsidR="00222AF9" w:rsidRPr="00222AF9">
              <w:rPr>
                <w:noProof/>
                <w:webHidden/>
              </w:rPr>
              <w:fldChar w:fldCharType="end"/>
            </w:r>
          </w:hyperlink>
        </w:p>
        <w:p w14:paraId="70508F4A" w14:textId="77777777" w:rsidR="00222AF9" w:rsidRPr="00222AF9" w:rsidRDefault="006B76BF">
          <w:pPr>
            <w:pStyle w:val="TOC2"/>
            <w:tabs>
              <w:tab w:val="left" w:pos="880"/>
              <w:tab w:val="right" w:leader="dot" w:pos="9936"/>
            </w:tabs>
            <w:rPr>
              <w:rFonts w:asciiTheme="minorHAnsi" w:eastAsiaTheme="minorEastAsia" w:hAnsiTheme="minorHAnsi" w:cstheme="minorBidi"/>
              <w:noProof/>
              <w:sz w:val="22"/>
              <w:szCs w:val="22"/>
              <w:lang w:val="en-US" w:eastAsia="en-US"/>
            </w:rPr>
          </w:pPr>
          <w:hyperlink w:anchor="_Toc375572537" w:history="1">
            <w:r w:rsidR="00222AF9" w:rsidRPr="00222AF9">
              <w:rPr>
                <w:rStyle w:val="Hyperlink"/>
                <w:noProof/>
              </w:rPr>
              <w:t>6.4</w:t>
            </w:r>
            <w:r w:rsidR="00222AF9" w:rsidRPr="00222AF9">
              <w:rPr>
                <w:rFonts w:asciiTheme="minorHAnsi" w:eastAsiaTheme="minorEastAsia" w:hAnsiTheme="minorHAnsi" w:cstheme="minorBidi"/>
                <w:noProof/>
                <w:sz w:val="22"/>
                <w:szCs w:val="22"/>
                <w:lang w:val="en-US" w:eastAsia="en-US"/>
              </w:rPr>
              <w:tab/>
            </w:r>
            <w:r w:rsidR="00222AF9" w:rsidRPr="00222AF9">
              <w:rPr>
                <w:rStyle w:val="Hyperlink"/>
                <w:noProof/>
              </w:rPr>
              <w:t>Information on product environmental characteristics to be provided by Signatories</w:t>
            </w:r>
            <w:r w:rsidR="00222AF9" w:rsidRPr="00222AF9">
              <w:rPr>
                <w:noProof/>
                <w:webHidden/>
              </w:rPr>
              <w:tab/>
            </w:r>
            <w:r w:rsidR="00222AF9" w:rsidRPr="00222AF9">
              <w:rPr>
                <w:noProof/>
                <w:webHidden/>
              </w:rPr>
              <w:fldChar w:fldCharType="begin"/>
            </w:r>
            <w:r w:rsidR="00222AF9" w:rsidRPr="00222AF9">
              <w:rPr>
                <w:noProof/>
                <w:webHidden/>
              </w:rPr>
              <w:instrText xml:space="preserve"> PAGEREF _Toc375572537 \h </w:instrText>
            </w:r>
            <w:r w:rsidR="00222AF9" w:rsidRPr="00222AF9">
              <w:rPr>
                <w:noProof/>
                <w:webHidden/>
              </w:rPr>
            </w:r>
            <w:r w:rsidR="00222AF9" w:rsidRPr="00222AF9">
              <w:rPr>
                <w:noProof/>
                <w:webHidden/>
              </w:rPr>
              <w:fldChar w:fldCharType="separate"/>
            </w:r>
            <w:r w:rsidR="009176F0">
              <w:rPr>
                <w:noProof/>
                <w:webHidden/>
              </w:rPr>
              <w:t>10</w:t>
            </w:r>
            <w:r w:rsidR="00222AF9" w:rsidRPr="00222AF9">
              <w:rPr>
                <w:noProof/>
                <w:webHidden/>
              </w:rPr>
              <w:fldChar w:fldCharType="end"/>
            </w:r>
          </w:hyperlink>
        </w:p>
        <w:p w14:paraId="4379409A" w14:textId="77777777" w:rsidR="00222AF9" w:rsidRPr="00222AF9" w:rsidRDefault="006B76BF">
          <w:pPr>
            <w:pStyle w:val="TOC2"/>
            <w:tabs>
              <w:tab w:val="left" w:pos="880"/>
              <w:tab w:val="right" w:leader="dot" w:pos="9936"/>
            </w:tabs>
            <w:rPr>
              <w:rFonts w:asciiTheme="minorHAnsi" w:eastAsiaTheme="minorEastAsia" w:hAnsiTheme="minorHAnsi" w:cstheme="minorBidi"/>
              <w:noProof/>
              <w:sz w:val="22"/>
              <w:szCs w:val="22"/>
              <w:lang w:val="en-US" w:eastAsia="en-US"/>
            </w:rPr>
          </w:pPr>
          <w:hyperlink w:anchor="_Toc375572540" w:history="1">
            <w:r w:rsidR="00222AF9" w:rsidRPr="00222AF9">
              <w:rPr>
                <w:rStyle w:val="Hyperlink"/>
                <w:noProof/>
              </w:rPr>
              <w:t>6.5</w:t>
            </w:r>
            <w:r w:rsidR="00222AF9" w:rsidRPr="00222AF9">
              <w:rPr>
                <w:rFonts w:asciiTheme="minorHAnsi" w:eastAsiaTheme="minorEastAsia" w:hAnsiTheme="minorHAnsi" w:cstheme="minorBidi"/>
                <w:noProof/>
                <w:sz w:val="22"/>
                <w:szCs w:val="22"/>
                <w:lang w:val="en-US" w:eastAsia="en-US"/>
              </w:rPr>
              <w:tab/>
            </w:r>
            <w:r w:rsidR="00222AF9" w:rsidRPr="00222AF9">
              <w:rPr>
                <w:rStyle w:val="Hyperlink"/>
                <w:noProof/>
              </w:rPr>
              <w:t>Exemption for small numbers</w:t>
            </w:r>
            <w:r w:rsidR="00222AF9" w:rsidRPr="00222AF9">
              <w:rPr>
                <w:noProof/>
                <w:webHidden/>
              </w:rPr>
              <w:tab/>
            </w:r>
            <w:r w:rsidR="00222AF9" w:rsidRPr="00222AF9">
              <w:rPr>
                <w:noProof/>
                <w:webHidden/>
              </w:rPr>
              <w:fldChar w:fldCharType="begin"/>
            </w:r>
            <w:r w:rsidR="00222AF9" w:rsidRPr="00222AF9">
              <w:rPr>
                <w:noProof/>
                <w:webHidden/>
              </w:rPr>
              <w:instrText xml:space="preserve"> PAGEREF _Toc375572540 \h </w:instrText>
            </w:r>
            <w:r w:rsidR="00222AF9" w:rsidRPr="00222AF9">
              <w:rPr>
                <w:noProof/>
                <w:webHidden/>
              </w:rPr>
            </w:r>
            <w:r w:rsidR="00222AF9" w:rsidRPr="00222AF9">
              <w:rPr>
                <w:noProof/>
                <w:webHidden/>
              </w:rPr>
              <w:fldChar w:fldCharType="separate"/>
            </w:r>
            <w:r w:rsidR="009176F0">
              <w:rPr>
                <w:noProof/>
                <w:webHidden/>
              </w:rPr>
              <w:t>10</w:t>
            </w:r>
            <w:r w:rsidR="00222AF9" w:rsidRPr="00222AF9">
              <w:rPr>
                <w:noProof/>
                <w:webHidden/>
              </w:rPr>
              <w:fldChar w:fldCharType="end"/>
            </w:r>
          </w:hyperlink>
        </w:p>
        <w:p w14:paraId="0CFB711F" w14:textId="77777777" w:rsidR="00222AF9" w:rsidRPr="00222AF9" w:rsidRDefault="006B76BF">
          <w:pPr>
            <w:pStyle w:val="TOC1"/>
            <w:rPr>
              <w:rFonts w:asciiTheme="minorHAnsi" w:eastAsiaTheme="minorEastAsia" w:hAnsiTheme="minorHAnsi" w:cstheme="minorBidi"/>
              <w:sz w:val="22"/>
              <w:szCs w:val="22"/>
              <w:lang w:val="en-US" w:eastAsia="en-US"/>
            </w:rPr>
          </w:pPr>
          <w:hyperlink w:anchor="_Toc375572542" w:history="1">
            <w:r w:rsidR="00222AF9" w:rsidRPr="008F1FB7">
              <w:rPr>
                <w:rStyle w:val="Hyperlink"/>
                <w:b/>
              </w:rPr>
              <w:t>7</w:t>
            </w:r>
            <w:r w:rsidR="00222AF9" w:rsidRPr="00222AF9">
              <w:rPr>
                <w:rFonts w:asciiTheme="minorHAnsi" w:eastAsiaTheme="minorEastAsia" w:hAnsiTheme="minorHAnsi" w:cstheme="minorBidi"/>
                <w:sz w:val="22"/>
                <w:szCs w:val="22"/>
                <w:lang w:val="en-US" w:eastAsia="en-US"/>
              </w:rPr>
              <w:tab/>
            </w:r>
            <w:r w:rsidR="00222AF9" w:rsidRPr="005C5AF1">
              <w:rPr>
                <w:rStyle w:val="Hyperlink"/>
                <w:b/>
                <w:highlight w:val="yellow"/>
              </w:rPr>
              <w:t>Independent Inspector</w:t>
            </w:r>
            <w:r w:rsidR="00222AF9" w:rsidRPr="00222AF9">
              <w:rPr>
                <w:webHidden/>
              </w:rPr>
              <w:tab/>
            </w:r>
            <w:r w:rsidR="00222AF9" w:rsidRPr="00222AF9">
              <w:rPr>
                <w:webHidden/>
              </w:rPr>
              <w:fldChar w:fldCharType="begin"/>
            </w:r>
            <w:r w:rsidR="00222AF9" w:rsidRPr="00222AF9">
              <w:rPr>
                <w:webHidden/>
              </w:rPr>
              <w:instrText xml:space="preserve"> PAGEREF _Toc375572542 \h </w:instrText>
            </w:r>
            <w:r w:rsidR="00222AF9" w:rsidRPr="00222AF9">
              <w:rPr>
                <w:webHidden/>
              </w:rPr>
            </w:r>
            <w:r w:rsidR="00222AF9" w:rsidRPr="00222AF9">
              <w:rPr>
                <w:webHidden/>
              </w:rPr>
              <w:fldChar w:fldCharType="separate"/>
            </w:r>
            <w:r w:rsidR="009176F0">
              <w:rPr>
                <w:webHidden/>
              </w:rPr>
              <w:t>10</w:t>
            </w:r>
            <w:r w:rsidR="00222AF9" w:rsidRPr="00222AF9">
              <w:rPr>
                <w:webHidden/>
              </w:rPr>
              <w:fldChar w:fldCharType="end"/>
            </w:r>
          </w:hyperlink>
        </w:p>
        <w:p w14:paraId="252F7BEB" w14:textId="77777777" w:rsidR="00222AF9" w:rsidRPr="00222AF9" w:rsidRDefault="006B76BF">
          <w:pPr>
            <w:pStyle w:val="TOC1"/>
            <w:rPr>
              <w:rFonts w:asciiTheme="minorHAnsi" w:eastAsiaTheme="minorEastAsia" w:hAnsiTheme="minorHAnsi" w:cstheme="minorBidi"/>
              <w:sz w:val="22"/>
              <w:szCs w:val="22"/>
              <w:lang w:val="en-US" w:eastAsia="en-US"/>
            </w:rPr>
          </w:pPr>
          <w:hyperlink w:anchor="_Toc375572543" w:history="1">
            <w:r w:rsidR="00222AF9" w:rsidRPr="008F1FB7">
              <w:rPr>
                <w:rStyle w:val="Hyperlink"/>
                <w:b/>
              </w:rPr>
              <w:t>8</w:t>
            </w:r>
            <w:r w:rsidR="00222AF9" w:rsidRPr="00222AF9">
              <w:rPr>
                <w:rFonts w:asciiTheme="minorHAnsi" w:eastAsiaTheme="minorEastAsia" w:hAnsiTheme="minorHAnsi" w:cstheme="minorBidi"/>
                <w:sz w:val="22"/>
                <w:szCs w:val="22"/>
                <w:lang w:val="en-US" w:eastAsia="en-US"/>
              </w:rPr>
              <w:tab/>
            </w:r>
            <w:r w:rsidR="00222AF9" w:rsidRPr="006D3478">
              <w:rPr>
                <w:rStyle w:val="Hyperlink"/>
                <w:b/>
              </w:rPr>
              <w:t>Reporting</w:t>
            </w:r>
            <w:r w:rsidR="00222AF9" w:rsidRPr="00222AF9">
              <w:rPr>
                <w:webHidden/>
              </w:rPr>
              <w:tab/>
            </w:r>
            <w:r w:rsidR="00222AF9" w:rsidRPr="00222AF9">
              <w:rPr>
                <w:webHidden/>
              </w:rPr>
              <w:fldChar w:fldCharType="begin"/>
            </w:r>
            <w:r w:rsidR="00222AF9" w:rsidRPr="00222AF9">
              <w:rPr>
                <w:webHidden/>
              </w:rPr>
              <w:instrText xml:space="preserve"> PAGEREF _Toc375572543 \h </w:instrText>
            </w:r>
            <w:r w:rsidR="00222AF9" w:rsidRPr="00222AF9">
              <w:rPr>
                <w:webHidden/>
              </w:rPr>
            </w:r>
            <w:r w:rsidR="00222AF9" w:rsidRPr="00222AF9">
              <w:rPr>
                <w:webHidden/>
              </w:rPr>
              <w:fldChar w:fldCharType="separate"/>
            </w:r>
            <w:r w:rsidR="009176F0">
              <w:rPr>
                <w:webHidden/>
              </w:rPr>
              <w:t>11</w:t>
            </w:r>
            <w:r w:rsidR="00222AF9" w:rsidRPr="00222AF9">
              <w:rPr>
                <w:webHidden/>
              </w:rPr>
              <w:fldChar w:fldCharType="end"/>
            </w:r>
          </w:hyperlink>
        </w:p>
        <w:p w14:paraId="29B1AF0E" w14:textId="77777777" w:rsidR="00222AF9" w:rsidRPr="00222AF9" w:rsidRDefault="006B76BF">
          <w:pPr>
            <w:pStyle w:val="TOC2"/>
            <w:tabs>
              <w:tab w:val="left" w:pos="880"/>
              <w:tab w:val="right" w:leader="dot" w:pos="9936"/>
            </w:tabs>
            <w:rPr>
              <w:rFonts w:asciiTheme="minorHAnsi" w:eastAsiaTheme="minorEastAsia" w:hAnsiTheme="minorHAnsi" w:cstheme="minorBidi"/>
              <w:noProof/>
              <w:sz w:val="22"/>
              <w:szCs w:val="22"/>
              <w:lang w:val="en-US" w:eastAsia="en-US"/>
            </w:rPr>
          </w:pPr>
          <w:hyperlink w:anchor="_Toc375572544" w:history="1">
            <w:r w:rsidR="00222AF9" w:rsidRPr="00222AF9">
              <w:rPr>
                <w:rStyle w:val="Hyperlink"/>
                <w:noProof/>
              </w:rPr>
              <w:t>8.1</w:t>
            </w:r>
            <w:r w:rsidR="00222AF9" w:rsidRPr="00222AF9">
              <w:rPr>
                <w:rFonts w:asciiTheme="minorHAnsi" w:eastAsiaTheme="minorEastAsia" w:hAnsiTheme="minorHAnsi" w:cstheme="minorBidi"/>
                <w:noProof/>
                <w:sz w:val="22"/>
                <w:szCs w:val="22"/>
                <w:lang w:val="en-US" w:eastAsia="en-US"/>
              </w:rPr>
              <w:tab/>
            </w:r>
            <w:r w:rsidR="00222AF9" w:rsidRPr="00222AF9">
              <w:rPr>
                <w:rStyle w:val="Hyperlink"/>
                <w:noProof/>
              </w:rPr>
              <w:t>Reporting frequency</w:t>
            </w:r>
            <w:r w:rsidR="00222AF9" w:rsidRPr="00222AF9">
              <w:rPr>
                <w:noProof/>
                <w:webHidden/>
              </w:rPr>
              <w:tab/>
            </w:r>
            <w:r w:rsidR="00222AF9" w:rsidRPr="00222AF9">
              <w:rPr>
                <w:noProof/>
                <w:webHidden/>
              </w:rPr>
              <w:fldChar w:fldCharType="begin"/>
            </w:r>
            <w:r w:rsidR="00222AF9" w:rsidRPr="00222AF9">
              <w:rPr>
                <w:noProof/>
                <w:webHidden/>
              </w:rPr>
              <w:instrText xml:space="preserve"> PAGEREF _Toc375572544 \h </w:instrText>
            </w:r>
            <w:r w:rsidR="00222AF9" w:rsidRPr="00222AF9">
              <w:rPr>
                <w:noProof/>
                <w:webHidden/>
              </w:rPr>
            </w:r>
            <w:r w:rsidR="00222AF9" w:rsidRPr="00222AF9">
              <w:rPr>
                <w:noProof/>
                <w:webHidden/>
              </w:rPr>
              <w:fldChar w:fldCharType="separate"/>
            </w:r>
            <w:r w:rsidR="009176F0">
              <w:rPr>
                <w:noProof/>
                <w:webHidden/>
              </w:rPr>
              <w:t>11</w:t>
            </w:r>
            <w:r w:rsidR="00222AF9" w:rsidRPr="00222AF9">
              <w:rPr>
                <w:noProof/>
                <w:webHidden/>
              </w:rPr>
              <w:fldChar w:fldCharType="end"/>
            </w:r>
          </w:hyperlink>
        </w:p>
        <w:p w14:paraId="174CB56D" w14:textId="77777777" w:rsidR="00222AF9" w:rsidRPr="00222AF9" w:rsidRDefault="006B76BF">
          <w:pPr>
            <w:pStyle w:val="TOC2"/>
            <w:tabs>
              <w:tab w:val="left" w:pos="880"/>
              <w:tab w:val="right" w:leader="dot" w:pos="9936"/>
            </w:tabs>
            <w:rPr>
              <w:rFonts w:asciiTheme="minorHAnsi" w:eastAsiaTheme="minorEastAsia" w:hAnsiTheme="minorHAnsi" w:cstheme="minorBidi"/>
              <w:noProof/>
              <w:sz w:val="22"/>
              <w:szCs w:val="22"/>
              <w:lang w:val="en-US" w:eastAsia="en-US"/>
            </w:rPr>
          </w:pPr>
          <w:hyperlink w:anchor="_Toc375572549" w:history="1">
            <w:r w:rsidR="00222AF9" w:rsidRPr="00222AF9">
              <w:rPr>
                <w:rStyle w:val="Hyperlink"/>
                <w:noProof/>
              </w:rPr>
              <w:t>8.2</w:t>
            </w:r>
            <w:r w:rsidR="00222AF9" w:rsidRPr="00222AF9">
              <w:rPr>
                <w:rFonts w:asciiTheme="minorHAnsi" w:eastAsiaTheme="minorEastAsia" w:hAnsiTheme="minorHAnsi" w:cstheme="minorBidi"/>
                <w:noProof/>
                <w:sz w:val="22"/>
                <w:szCs w:val="22"/>
                <w:lang w:val="en-US" w:eastAsia="en-US"/>
              </w:rPr>
              <w:tab/>
            </w:r>
            <w:r w:rsidR="00222AF9" w:rsidRPr="00222AF9">
              <w:rPr>
                <w:rStyle w:val="Hyperlink"/>
                <w:noProof/>
              </w:rPr>
              <w:t>Background data</w:t>
            </w:r>
            <w:r w:rsidR="00222AF9" w:rsidRPr="00222AF9">
              <w:rPr>
                <w:noProof/>
                <w:webHidden/>
              </w:rPr>
              <w:tab/>
            </w:r>
            <w:r w:rsidR="00222AF9" w:rsidRPr="00222AF9">
              <w:rPr>
                <w:noProof/>
                <w:webHidden/>
              </w:rPr>
              <w:fldChar w:fldCharType="begin"/>
            </w:r>
            <w:r w:rsidR="00222AF9" w:rsidRPr="00222AF9">
              <w:rPr>
                <w:noProof/>
                <w:webHidden/>
              </w:rPr>
              <w:instrText xml:space="preserve"> PAGEREF _Toc375572549 \h </w:instrText>
            </w:r>
            <w:r w:rsidR="00222AF9" w:rsidRPr="00222AF9">
              <w:rPr>
                <w:noProof/>
                <w:webHidden/>
              </w:rPr>
            </w:r>
            <w:r w:rsidR="00222AF9" w:rsidRPr="00222AF9">
              <w:rPr>
                <w:noProof/>
                <w:webHidden/>
              </w:rPr>
              <w:fldChar w:fldCharType="separate"/>
            </w:r>
            <w:r w:rsidR="009176F0">
              <w:rPr>
                <w:noProof/>
                <w:webHidden/>
              </w:rPr>
              <w:t>11</w:t>
            </w:r>
            <w:r w:rsidR="00222AF9" w:rsidRPr="00222AF9">
              <w:rPr>
                <w:noProof/>
                <w:webHidden/>
              </w:rPr>
              <w:fldChar w:fldCharType="end"/>
            </w:r>
          </w:hyperlink>
        </w:p>
        <w:p w14:paraId="7489A660" w14:textId="77777777" w:rsidR="00222AF9" w:rsidRDefault="006B76BF">
          <w:pPr>
            <w:pStyle w:val="TOC1"/>
            <w:rPr>
              <w:rStyle w:val="Hyperlink"/>
            </w:rPr>
          </w:pPr>
          <w:hyperlink w:anchor="_Toc375572553" w:history="1">
            <w:r w:rsidR="00222AF9" w:rsidRPr="008F1FB7">
              <w:rPr>
                <w:rStyle w:val="Hyperlink"/>
                <w:b/>
              </w:rPr>
              <w:t>9</w:t>
            </w:r>
            <w:r w:rsidR="00222AF9" w:rsidRPr="00222AF9">
              <w:rPr>
                <w:rFonts w:asciiTheme="minorHAnsi" w:eastAsiaTheme="minorEastAsia" w:hAnsiTheme="minorHAnsi" w:cstheme="minorBidi"/>
                <w:sz w:val="22"/>
                <w:szCs w:val="22"/>
                <w:lang w:val="en-US" w:eastAsia="en-US"/>
              </w:rPr>
              <w:tab/>
            </w:r>
            <w:r w:rsidR="00222AF9" w:rsidRPr="005C5AF1">
              <w:rPr>
                <w:rStyle w:val="Hyperlink"/>
                <w:b/>
                <w:highlight w:val="yellow"/>
              </w:rPr>
              <w:t>Auditing</w:t>
            </w:r>
            <w:r w:rsidR="00222AF9" w:rsidRPr="00222AF9">
              <w:rPr>
                <w:webHidden/>
              </w:rPr>
              <w:tab/>
            </w:r>
            <w:r w:rsidR="00222AF9" w:rsidRPr="00222AF9">
              <w:rPr>
                <w:webHidden/>
              </w:rPr>
              <w:fldChar w:fldCharType="begin"/>
            </w:r>
            <w:r w:rsidR="00222AF9" w:rsidRPr="00222AF9">
              <w:rPr>
                <w:webHidden/>
              </w:rPr>
              <w:instrText xml:space="preserve"> PAGEREF _Toc375572553 \h </w:instrText>
            </w:r>
            <w:r w:rsidR="00222AF9" w:rsidRPr="00222AF9">
              <w:rPr>
                <w:webHidden/>
              </w:rPr>
            </w:r>
            <w:r w:rsidR="00222AF9" w:rsidRPr="00222AF9">
              <w:rPr>
                <w:webHidden/>
              </w:rPr>
              <w:fldChar w:fldCharType="separate"/>
            </w:r>
            <w:r w:rsidR="009176F0">
              <w:rPr>
                <w:webHidden/>
              </w:rPr>
              <w:t>12</w:t>
            </w:r>
            <w:r w:rsidR="00222AF9" w:rsidRPr="00222AF9">
              <w:rPr>
                <w:webHidden/>
              </w:rPr>
              <w:fldChar w:fldCharType="end"/>
            </w:r>
          </w:hyperlink>
        </w:p>
        <w:p w14:paraId="2238A396" w14:textId="65CA95C0" w:rsidR="00127350" w:rsidRPr="00222AF9" w:rsidRDefault="006B76BF" w:rsidP="00127350">
          <w:pPr>
            <w:pStyle w:val="TOC2"/>
            <w:tabs>
              <w:tab w:val="left" w:pos="880"/>
              <w:tab w:val="right" w:leader="dot" w:pos="9936"/>
            </w:tabs>
            <w:rPr>
              <w:rFonts w:asciiTheme="minorHAnsi" w:eastAsiaTheme="minorEastAsia" w:hAnsiTheme="minorHAnsi" w:cstheme="minorBidi"/>
              <w:noProof/>
              <w:sz w:val="22"/>
              <w:szCs w:val="22"/>
              <w:lang w:val="en-US" w:eastAsia="en-US"/>
            </w:rPr>
          </w:pPr>
          <w:hyperlink w:anchor="_Toc375572555" w:history="1">
            <w:r w:rsidR="00127350">
              <w:rPr>
                <w:rStyle w:val="Hyperlink"/>
                <w:noProof/>
              </w:rPr>
              <w:t>9</w:t>
            </w:r>
            <w:r w:rsidR="00127350" w:rsidRPr="00222AF9">
              <w:rPr>
                <w:rStyle w:val="Hyperlink"/>
                <w:noProof/>
              </w:rPr>
              <w:t>.1</w:t>
            </w:r>
            <w:r w:rsidR="00127350" w:rsidRPr="00222AF9">
              <w:rPr>
                <w:rFonts w:asciiTheme="minorHAnsi" w:eastAsiaTheme="minorEastAsia" w:hAnsiTheme="minorHAnsi" w:cstheme="minorBidi"/>
                <w:noProof/>
                <w:sz w:val="22"/>
                <w:szCs w:val="22"/>
                <w:lang w:val="en-US" w:eastAsia="en-US"/>
              </w:rPr>
              <w:tab/>
            </w:r>
            <w:r w:rsidR="00127350">
              <w:rPr>
                <w:rStyle w:val="Hyperlink"/>
                <w:noProof/>
              </w:rPr>
              <w:t>Random-ba</w:t>
            </w:r>
            <w:r w:rsidR="00742593">
              <w:rPr>
                <w:rStyle w:val="Hyperlink"/>
                <w:noProof/>
              </w:rPr>
              <w:t>s</w:t>
            </w:r>
            <w:r w:rsidR="00127350">
              <w:rPr>
                <w:rStyle w:val="Hyperlink"/>
                <w:noProof/>
              </w:rPr>
              <w:t>ed audit</w:t>
            </w:r>
            <w:r w:rsidR="00127350" w:rsidRPr="00222AF9">
              <w:rPr>
                <w:noProof/>
                <w:webHidden/>
              </w:rPr>
              <w:tab/>
            </w:r>
            <w:r w:rsidR="00127350" w:rsidRPr="00222AF9">
              <w:rPr>
                <w:noProof/>
                <w:webHidden/>
              </w:rPr>
              <w:fldChar w:fldCharType="begin"/>
            </w:r>
            <w:r w:rsidR="00127350" w:rsidRPr="00222AF9">
              <w:rPr>
                <w:noProof/>
                <w:webHidden/>
              </w:rPr>
              <w:instrText xml:space="preserve"> PAGEREF _Toc375572555 \h </w:instrText>
            </w:r>
            <w:r w:rsidR="00127350" w:rsidRPr="00222AF9">
              <w:rPr>
                <w:noProof/>
                <w:webHidden/>
              </w:rPr>
            </w:r>
            <w:r w:rsidR="00127350" w:rsidRPr="00222AF9">
              <w:rPr>
                <w:noProof/>
                <w:webHidden/>
              </w:rPr>
              <w:fldChar w:fldCharType="separate"/>
            </w:r>
            <w:r w:rsidR="009176F0">
              <w:rPr>
                <w:noProof/>
                <w:webHidden/>
              </w:rPr>
              <w:t>12</w:t>
            </w:r>
            <w:r w:rsidR="00127350" w:rsidRPr="00222AF9">
              <w:rPr>
                <w:noProof/>
                <w:webHidden/>
              </w:rPr>
              <w:fldChar w:fldCharType="end"/>
            </w:r>
          </w:hyperlink>
        </w:p>
        <w:p w14:paraId="71E88735" w14:textId="0F965B9F" w:rsidR="00127350" w:rsidRPr="00222AF9" w:rsidRDefault="006B76BF" w:rsidP="00127350">
          <w:pPr>
            <w:pStyle w:val="TOC2"/>
            <w:tabs>
              <w:tab w:val="left" w:pos="880"/>
              <w:tab w:val="right" w:leader="dot" w:pos="9936"/>
            </w:tabs>
            <w:rPr>
              <w:rFonts w:asciiTheme="minorHAnsi" w:eastAsiaTheme="minorEastAsia" w:hAnsiTheme="minorHAnsi" w:cstheme="minorBidi"/>
              <w:noProof/>
              <w:sz w:val="22"/>
              <w:szCs w:val="22"/>
              <w:lang w:val="en-US" w:eastAsia="en-US"/>
            </w:rPr>
          </w:pPr>
          <w:hyperlink w:anchor="_Toc375572559" w:history="1">
            <w:r w:rsidR="00127350">
              <w:rPr>
                <w:rStyle w:val="Hyperlink"/>
                <w:noProof/>
              </w:rPr>
              <w:t>9</w:t>
            </w:r>
            <w:r w:rsidR="00127350" w:rsidRPr="00222AF9">
              <w:rPr>
                <w:rStyle w:val="Hyperlink"/>
                <w:noProof/>
              </w:rPr>
              <w:t>.2</w:t>
            </w:r>
            <w:r w:rsidR="00127350" w:rsidRPr="00222AF9">
              <w:rPr>
                <w:rFonts w:asciiTheme="minorHAnsi" w:eastAsiaTheme="minorEastAsia" w:hAnsiTheme="minorHAnsi" w:cstheme="minorBidi"/>
                <w:noProof/>
                <w:sz w:val="22"/>
                <w:szCs w:val="22"/>
                <w:lang w:val="en-US" w:eastAsia="en-US"/>
              </w:rPr>
              <w:tab/>
            </w:r>
            <w:r w:rsidR="00127350">
              <w:rPr>
                <w:rStyle w:val="Hyperlink"/>
                <w:noProof/>
              </w:rPr>
              <w:t>Intelligence-based audit</w:t>
            </w:r>
            <w:r w:rsidR="00127350" w:rsidRPr="00222AF9">
              <w:rPr>
                <w:noProof/>
                <w:webHidden/>
              </w:rPr>
              <w:tab/>
            </w:r>
            <w:r w:rsidR="00127350" w:rsidRPr="00222AF9">
              <w:rPr>
                <w:noProof/>
                <w:webHidden/>
              </w:rPr>
              <w:fldChar w:fldCharType="begin"/>
            </w:r>
            <w:r w:rsidR="00127350" w:rsidRPr="00222AF9">
              <w:rPr>
                <w:noProof/>
                <w:webHidden/>
              </w:rPr>
              <w:instrText xml:space="preserve"> PAGEREF _Toc375572559 \h </w:instrText>
            </w:r>
            <w:r w:rsidR="00127350" w:rsidRPr="00222AF9">
              <w:rPr>
                <w:noProof/>
                <w:webHidden/>
              </w:rPr>
            </w:r>
            <w:r w:rsidR="00127350" w:rsidRPr="00222AF9">
              <w:rPr>
                <w:noProof/>
                <w:webHidden/>
              </w:rPr>
              <w:fldChar w:fldCharType="separate"/>
            </w:r>
            <w:r w:rsidR="009176F0">
              <w:rPr>
                <w:noProof/>
                <w:webHidden/>
              </w:rPr>
              <w:t>13</w:t>
            </w:r>
            <w:r w:rsidR="00127350" w:rsidRPr="00222AF9">
              <w:rPr>
                <w:noProof/>
                <w:webHidden/>
              </w:rPr>
              <w:fldChar w:fldCharType="end"/>
            </w:r>
          </w:hyperlink>
        </w:p>
        <w:p w14:paraId="04724A6C" w14:textId="77777777" w:rsidR="00127350" w:rsidRPr="00127350" w:rsidRDefault="00127350" w:rsidP="00127350">
          <w:pPr>
            <w:rPr>
              <w:noProof/>
            </w:rPr>
          </w:pPr>
        </w:p>
        <w:p w14:paraId="5FC09BF2" w14:textId="77777777" w:rsidR="00222AF9" w:rsidRPr="00222AF9" w:rsidRDefault="006B76BF">
          <w:pPr>
            <w:pStyle w:val="TOC1"/>
            <w:rPr>
              <w:rFonts w:asciiTheme="minorHAnsi" w:eastAsiaTheme="minorEastAsia" w:hAnsiTheme="minorHAnsi" w:cstheme="minorBidi"/>
              <w:sz w:val="22"/>
              <w:szCs w:val="22"/>
              <w:lang w:val="en-US" w:eastAsia="en-US"/>
            </w:rPr>
          </w:pPr>
          <w:hyperlink w:anchor="_Toc375572554" w:history="1">
            <w:r w:rsidR="00222AF9" w:rsidRPr="008F1FB7">
              <w:rPr>
                <w:rStyle w:val="Hyperlink"/>
                <w:b/>
              </w:rPr>
              <w:t>10</w:t>
            </w:r>
            <w:r w:rsidR="00222AF9" w:rsidRPr="00222AF9">
              <w:rPr>
                <w:rFonts w:asciiTheme="minorHAnsi" w:eastAsiaTheme="minorEastAsia" w:hAnsiTheme="minorHAnsi" w:cstheme="minorBidi"/>
                <w:sz w:val="22"/>
                <w:szCs w:val="22"/>
                <w:lang w:val="en-US" w:eastAsia="en-US"/>
              </w:rPr>
              <w:tab/>
            </w:r>
            <w:r w:rsidR="00222AF9" w:rsidRPr="006D3478">
              <w:rPr>
                <w:rStyle w:val="Hyperlink"/>
                <w:b/>
              </w:rPr>
              <w:t>Nature and Organization of the Voluntary Agreement</w:t>
            </w:r>
            <w:r w:rsidR="00222AF9" w:rsidRPr="00222AF9">
              <w:rPr>
                <w:webHidden/>
              </w:rPr>
              <w:tab/>
            </w:r>
            <w:r w:rsidR="00222AF9" w:rsidRPr="00222AF9">
              <w:rPr>
                <w:webHidden/>
              </w:rPr>
              <w:fldChar w:fldCharType="begin"/>
            </w:r>
            <w:r w:rsidR="00222AF9" w:rsidRPr="00222AF9">
              <w:rPr>
                <w:webHidden/>
              </w:rPr>
              <w:instrText xml:space="preserve"> PAGEREF _Toc375572554 \h </w:instrText>
            </w:r>
            <w:r w:rsidR="00222AF9" w:rsidRPr="00222AF9">
              <w:rPr>
                <w:webHidden/>
              </w:rPr>
            </w:r>
            <w:r w:rsidR="00222AF9" w:rsidRPr="00222AF9">
              <w:rPr>
                <w:webHidden/>
              </w:rPr>
              <w:fldChar w:fldCharType="separate"/>
            </w:r>
            <w:r w:rsidR="009176F0">
              <w:rPr>
                <w:webHidden/>
              </w:rPr>
              <w:t>12</w:t>
            </w:r>
            <w:r w:rsidR="00222AF9" w:rsidRPr="00222AF9">
              <w:rPr>
                <w:webHidden/>
              </w:rPr>
              <w:fldChar w:fldCharType="end"/>
            </w:r>
          </w:hyperlink>
        </w:p>
        <w:p w14:paraId="7B2B827B" w14:textId="77777777" w:rsidR="00222AF9" w:rsidRPr="00222AF9" w:rsidRDefault="006B76BF">
          <w:pPr>
            <w:pStyle w:val="TOC2"/>
            <w:tabs>
              <w:tab w:val="left" w:pos="880"/>
              <w:tab w:val="right" w:leader="dot" w:pos="9936"/>
            </w:tabs>
            <w:rPr>
              <w:rFonts w:asciiTheme="minorHAnsi" w:eastAsiaTheme="minorEastAsia" w:hAnsiTheme="minorHAnsi" w:cstheme="minorBidi"/>
              <w:noProof/>
              <w:sz w:val="22"/>
              <w:szCs w:val="22"/>
              <w:lang w:val="en-US" w:eastAsia="en-US"/>
            </w:rPr>
          </w:pPr>
          <w:hyperlink w:anchor="_Toc375572555" w:history="1">
            <w:r w:rsidR="00222AF9" w:rsidRPr="00222AF9">
              <w:rPr>
                <w:rStyle w:val="Hyperlink"/>
                <w:noProof/>
              </w:rPr>
              <w:t>10.1</w:t>
            </w:r>
            <w:r w:rsidR="00222AF9" w:rsidRPr="00222AF9">
              <w:rPr>
                <w:rFonts w:asciiTheme="minorHAnsi" w:eastAsiaTheme="minorEastAsia" w:hAnsiTheme="minorHAnsi" w:cstheme="minorBidi"/>
                <w:noProof/>
                <w:sz w:val="22"/>
                <w:szCs w:val="22"/>
                <w:lang w:val="en-US" w:eastAsia="en-US"/>
              </w:rPr>
              <w:tab/>
            </w:r>
            <w:r w:rsidR="00222AF9" w:rsidRPr="00222AF9">
              <w:rPr>
                <w:rStyle w:val="Hyperlink"/>
                <w:noProof/>
              </w:rPr>
              <w:t>Nature of the Voluntary Agreement</w:t>
            </w:r>
            <w:r w:rsidR="00222AF9" w:rsidRPr="00222AF9">
              <w:rPr>
                <w:noProof/>
                <w:webHidden/>
              </w:rPr>
              <w:tab/>
            </w:r>
            <w:r w:rsidR="00222AF9" w:rsidRPr="00222AF9">
              <w:rPr>
                <w:noProof/>
                <w:webHidden/>
              </w:rPr>
              <w:fldChar w:fldCharType="begin"/>
            </w:r>
            <w:r w:rsidR="00222AF9" w:rsidRPr="00222AF9">
              <w:rPr>
                <w:noProof/>
                <w:webHidden/>
              </w:rPr>
              <w:instrText xml:space="preserve"> PAGEREF _Toc375572555 \h </w:instrText>
            </w:r>
            <w:r w:rsidR="00222AF9" w:rsidRPr="00222AF9">
              <w:rPr>
                <w:noProof/>
                <w:webHidden/>
              </w:rPr>
            </w:r>
            <w:r w:rsidR="00222AF9" w:rsidRPr="00222AF9">
              <w:rPr>
                <w:noProof/>
                <w:webHidden/>
              </w:rPr>
              <w:fldChar w:fldCharType="separate"/>
            </w:r>
            <w:r w:rsidR="009176F0">
              <w:rPr>
                <w:noProof/>
                <w:webHidden/>
              </w:rPr>
              <w:t>12</w:t>
            </w:r>
            <w:r w:rsidR="00222AF9" w:rsidRPr="00222AF9">
              <w:rPr>
                <w:noProof/>
                <w:webHidden/>
              </w:rPr>
              <w:fldChar w:fldCharType="end"/>
            </w:r>
          </w:hyperlink>
        </w:p>
        <w:p w14:paraId="3A5DB846" w14:textId="77777777" w:rsidR="00222AF9" w:rsidRPr="00222AF9" w:rsidRDefault="006B76BF">
          <w:pPr>
            <w:pStyle w:val="TOC2"/>
            <w:tabs>
              <w:tab w:val="left" w:pos="880"/>
              <w:tab w:val="right" w:leader="dot" w:pos="9936"/>
            </w:tabs>
            <w:rPr>
              <w:rFonts w:asciiTheme="minorHAnsi" w:eastAsiaTheme="minorEastAsia" w:hAnsiTheme="minorHAnsi" w:cstheme="minorBidi"/>
              <w:noProof/>
              <w:sz w:val="22"/>
              <w:szCs w:val="22"/>
              <w:lang w:val="en-US" w:eastAsia="en-US"/>
            </w:rPr>
          </w:pPr>
          <w:hyperlink w:anchor="_Toc375572559" w:history="1">
            <w:r w:rsidR="00222AF9" w:rsidRPr="00222AF9">
              <w:rPr>
                <w:rStyle w:val="Hyperlink"/>
                <w:noProof/>
              </w:rPr>
              <w:t>10.2</w:t>
            </w:r>
            <w:r w:rsidR="00222AF9" w:rsidRPr="00222AF9">
              <w:rPr>
                <w:rFonts w:asciiTheme="minorHAnsi" w:eastAsiaTheme="minorEastAsia" w:hAnsiTheme="minorHAnsi" w:cstheme="minorBidi"/>
                <w:noProof/>
                <w:sz w:val="22"/>
                <w:szCs w:val="22"/>
                <w:lang w:val="en-US" w:eastAsia="en-US"/>
              </w:rPr>
              <w:tab/>
            </w:r>
            <w:r w:rsidR="00222AF9" w:rsidRPr="00222AF9">
              <w:rPr>
                <w:rStyle w:val="Hyperlink"/>
                <w:noProof/>
              </w:rPr>
              <w:t>Organisation of the Voluntary Agreement</w:t>
            </w:r>
            <w:r w:rsidR="00222AF9" w:rsidRPr="00222AF9">
              <w:rPr>
                <w:noProof/>
                <w:webHidden/>
              </w:rPr>
              <w:tab/>
            </w:r>
            <w:r w:rsidR="00222AF9" w:rsidRPr="00222AF9">
              <w:rPr>
                <w:noProof/>
                <w:webHidden/>
              </w:rPr>
              <w:fldChar w:fldCharType="begin"/>
            </w:r>
            <w:r w:rsidR="00222AF9" w:rsidRPr="00222AF9">
              <w:rPr>
                <w:noProof/>
                <w:webHidden/>
              </w:rPr>
              <w:instrText xml:space="preserve"> PAGEREF _Toc375572559 \h </w:instrText>
            </w:r>
            <w:r w:rsidR="00222AF9" w:rsidRPr="00222AF9">
              <w:rPr>
                <w:noProof/>
                <w:webHidden/>
              </w:rPr>
            </w:r>
            <w:r w:rsidR="00222AF9" w:rsidRPr="00222AF9">
              <w:rPr>
                <w:noProof/>
                <w:webHidden/>
              </w:rPr>
              <w:fldChar w:fldCharType="separate"/>
            </w:r>
            <w:r w:rsidR="009176F0">
              <w:rPr>
                <w:noProof/>
                <w:webHidden/>
              </w:rPr>
              <w:t>13</w:t>
            </w:r>
            <w:r w:rsidR="00222AF9" w:rsidRPr="00222AF9">
              <w:rPr>
                <w:noProof/>
                <w:webHidden/>
              </w:rPr>
              <w:fldChar w:fldCharType="end"/>
            </w:r>
          </w:hyperlink>
        </w:p>
        <w:p w14:paraId="4F72532C" w14:textId="77777777" w:rsidR="00222AF9" w:rsidRPr="00222AF9" w:rsidRDefault="006B76BF">
          <w:pPr>
            <w:pStyle w:val="TOC1"/>
            <w:rPr>
              <w:rFonts w:asciiTheme="minorHAnsi" w:eastAsiaTheme="minorEastAsia" w:hAnsiTheme="minorHAnsi" w:cstheme="minorBidi"/>
              <w:sz w:val="22"/>
              <w:szCs w:val="22"/>
              <w:lang w:val="en-US" w:eastAsia="en-US"/>
            </w:rPr>
          </w:pPr>
          <w:hyperlink w:anchor="_Toc375572563" w:history="1">
            <w:r w:rsidR="00222AF9" w:rsidRPr="008F1FB7">
              <w:rPr>
                <w:rStyle w:val="Hyperlink"/>
                <w:b/>
              </w:rPr>
              <w:t>11</w:t>
            </w:r>
            <w:r w:rsidR="00222AF9" w:rsidRPr="00222AF9">
              <w:rPr>
                <w:rFonts w:asciiTheme="minorHAnsi" w:eastAsiaTheme="minorEastAsia" w:hAnsiTheme="minorHAnsi" w:cstheme="minorBidi"/>
                <w:sz w:val="22"/>
                <w:szCs w:val="22"/>
                <w:lang w:val="en-US" w:eastAsia="en-US"/>
              </w:rPr>
              <w:tab/>
            </w:r>
            <w:r w:rsidR="00222AF9" w:rsidRPr="006D3478">
              <w:rPr>
                <w:rStyle w:val="Hyperlink"/>
                <w:b/>
              </w:rPr>
              <w:t>Voting rules</w:t>
            </w:r>
            <w:r w:rsidR="00222AF9" w:rsidRPr="00222AF9">
              <w:rPr>
                <w:webHidden/>
              </w:rPr>
              <w:tab/>
            </w:r>
            <w:r w:rsidR="00222AF9" w:rsidRPr="00222AF9">
              <w:rPr>
                <w:webHidden/>
              </w:rPr>
              <w:fldChar w:fldCharType="begin"/>
            </w:r>
            <w:r w:rsidR="00222AF9" w:rsidRPr="00222AF9">
              <w:rPr>
                <w:webHidden/>
              </w:rPr>
              <w:instrText xml:space="preserve"> PAGEREF _Toc375572563 \h </w:instrText>
            </w:r>
            <w:r w:rsidR="00222AF9" w:rsidRPr="00222AF9">
              <w:rPr>
                <w:webHidden/>
              </w:rPr>
            </w:r>
            <w:r w:rsidR="00222AF9" w:rsidRPr="00222AF9">
              <w:rPr>
                <w:webHidden/>
              </w:rPr>
              <w:fldChar w:fldCharType="separate"/>
            </w:r>
            <w:r w:rsidR="009176F0">
              <w:rPr>
                <w:webHidden/>
              </w:rPr>
              <w:t>13</w:t>
            </w:r>
            <w:r w:rsidR="00222AF9" w:rsidRPr="00222AF9">
              <w:rPr>
                <w:webHidden/>
              </w:rPr>
              <w:fldChar w:fldCharType="end"/>
            </w:r>
          </w:hyperlink>
        </w:p>
        <w:p w14:paraId="0B70ECC8" w14:textId="77777777" w:rsidR="00222AF9" w:rsidRPr="00222AF9" w:rsidRDefault="006B76BF">
          <w:pPr>
            <w:pStyle w:val="TOC1"/>
            <w:rPr>
              <w:rFonts w:asciiTheme="minorHAnsi" w:eastAsiaTheme="minorEastAsia" w:hAnsiTheme="minorHAnsi" w:cstheme="minorBidi"/>
              <w:sz w:val="22"/>
              <w:szCs w:val="22"/>
              <w:lang w:val="en-US" w:eastAsia="en-US"/>
            </w:rPr>
          </w:pPr>
          <w:hyperlink w:anchor="_Toc375572565" w:history="1">
            <w:r w:rsidR="00222AF9" w:rsidRPr="008F1FB7">
              <w:rPr>
                <w:rStyle w:val="Hyperlink"/>
                <w:b/>
              </w:rPr>
              <w:t>12</w:t>
            </w:r>
            <w:r w:rsidR="00222AF9" w:rsidRPr="00222AF9">
              <w:rPr>
                <w:rFonts w:asciiTheme="minorHAnsi" w:eastAsiaTheme="minorEastAsia" w:hAnsiTheme="minorHAnsi" w:cstheme="minorBidi"/>
                <w:sz w:val="22"/>
                <w:szCs w:val="22"/>
                <w:lang w:val="en-US" w:eastAsia="en-US"/>
              </w:rPr>
              <w:tab/>
            </w:r>
            <w:r w:rsidR="00222AF9" w:rsidRPr="006D3478">
              <w:rPr>
                <w:rStyle w:val="Hyperlink"/>
                <w:b/>
              </w:rPr>
              <w:t>Non Compliance</w:t>
            </w:r>
            <w:r w:rsidR="00222AF9" w:rsidRPr="00222AF9">
              <w:rPr>
                <w:webHidden/>
              </w:rPr>
              <w:tab/>
            </w:r>
            <w:r w:rsidR="00222AF9" w:rsidRPr="00222AF9">
              <w:rPr>
                <w:webHidden/>
              </w:rPr>
              <w:fldChar w:fldCharType="begin"/>
            </w:r>
            <w:r w:rsidR="00222AF9" w:rsidRPr="00222AF9">
              <w:rPr>
                <w:webHidden/>
              </w:rPr>
              <w:instrText xml:space="preserve"> PAGEREF _Toc375572565 \h </w:instrText>
            </w:r>
            <w:r w:rsidR="00222AF9" w:rsidRPr="00222AF9">
              <w:rPr>
                <w:webHidden/>
              </w:rPr>
            </w:r>
            <w:r w:rsidR="00222AF9" w:rsidRPr="00222AF9">
              <w:rPr>
                <w:webHidden/>
              </w:rPr>
              <w:fldChar w:fldCharType="separate"/>
            </w:r>
            <w:r w:rsidR="009176F0">
              <w:rPr>
                <w:webHidden/>
              </w:rPr>
              <w:t>14</w:t>
            </w:r>
            <w:r w:rsidR="00222AF9" w:rsidRPr="00222AF9">
              <w:rPr>
                <w:webHidden/>
              </w:rPr>
              <w:fldChar w:fldCharType="end"/>
            </w:r>
          </w:hyperlink>
        </w:p>
        <w:p w14:paraId="06386C55" w14:textId="77777777" w:rsidR="00222AF9" w:rsidRPr="00222AF9" w:rsidRDefault="006B76BF">
          <w:pPr>
            <w:pStyle w:val="TOC1"/>
            <w:rPr>
              <w:rFonts w:asciiTheme="minorHAnsi" w:eastAsiaTheme="minorEastAsia" w:hAnsiTheme="minorHAnsi" w:cstheme="minorBidi"/>
              <w:sz w:val="22"/>
              <w:szCs w:val="22"/>
              <w:lang w:val="en-US" w:eastAsia="en-US"/>
            </w:rPr>
          </w:pPr>
          <w:hyperlink w:anchor="_Toc375572566" w:history="1">
            <w:r w:rsidR="00222AF9" w:rsidRPr="008F1FB7">
              <w:rPr>
                <w:rStyle w:val="Hyperlink"/>
                <w:b/>
              </w:rPr>
              <w:t>13</w:t>
            </w:r>
            <w:r w:rsidR="00222AF9" w:rsidRPr="00222AF9">
              <w:rPr>
                <w:rFonts w:asciiTheme="minorHAnsi" w:eastAsiaTheme="minorEastAsia" w:hAnsiTheme="minorHAnsi" w:cstheme="minorBidi"/>
                <w:sz w:val="22"/>
                <w:szCs w:val="22"/>
                <w:lang w:val="en-US" w:eastAsia="en-US"/>
              </w:rPr>
              <w:tab/>
            </w:r>
            <w:r w:rsidR="00222AF9" w:rsidRPr="006D3478">
              <w:rPr>
                <w:rStyle w:val="Hyperlink"/>
                <w:b/>
              </w:rPr>
              <w:t>Revision of the Voluntary Agreement</w:t>
            </w:r>
            <w:r w:rsidR="00222AF9" w:rsidRPr="00222AF9">
              <w:rPr>
                <w:webHidden/>
              </w:rPr>
              <w:tab/>
            </w:r>
            <w:r w:rsidR="00222AF9" w:rsidRPr="00222AF9">
              <w:rPr>
                <w:webHidden/>
              </w:rPr>
              <w:fldChar w:fldCharType="begin"/>
            </w:r>
            <w:r w:rsidR="00222AF9" w:rsidRPr="00222AF9">
              <w:rPr>
                <w:webHidden/>
              </w:rPr>
              <w:instrText xml:space="preserve"> PAGEREF _Toc375572566 \h </w:instrText>
            </w:r>
            <w:r w:rsidR="00222AF9" w:rsidRPr="00222AF9">
              <w:rPr>
                <w:webHidden/>
              </w:rPr>
            </w:r>
            <w:r w:rsidR="00222AF9" w:rsidRPr="00222AF9">
              <w:rPr>
                <w:webHidden/>
              </w:rPr>
              <w:fldChar w:fldCharType="separate"/>
            </w:r>
            <w:r w:rsidR="009176F0">
              <w:rPr>
                <w:webHidden/>
              </w:rPr>
              <w:t>15</w:t>
            </w:r>
            <w:r w:rsidR="00222AF9" w:rsidRPr="00222AF9">
              <w:rPr>
                <w:webHidden/>
              </w:rPr>
              <w:fldChar w:fldCharType="end"/>
            </w:r>
          </w:hyperlink>
        </w:p>
        <w:p w14:paraId="3DA0AAC8" w14:textId="77777777" w:rsidR="00222AF9" w:rsidRPr="00222AF9" w:rsidRDefault="006B76BF">
          <w:pPr>
            <w:pStyle w:val="TOC1"/>
            <w:rPr>
              <w:rFonts w:asciiTheme="minorHAnsi" w:eastAsiaTheme="minorEastAsia" w:hAnsiTheme="minorHAnsi" w:cstheme="minorBidi"/>
              <w:sz w:val="22"/>
              <w:szCs w:val="22"/>
              <w:lang w:val="en-US" w:eastAsia="en-US"/>
            </w:rPr>
          </w:pPr>
          <w:hyperlink w:anchor="_Toc375572567" w:history="1">
            <w:r w:rsidR="00222AF9" w:rsidRPr="008F1FB7">
              <w:rPr>
                <w:rStyle w:val="Hyperlink"/>
                <w:b/>
              </w:rPr>
              <w:t>14</w:t>
            </w:r>
            <w:r w:rsidR="00222AF9" w:rsidRPr="00222AF9">
              <w:rPr>
                <w:rFonts w:asciiTheme="minorHAnsi" w:eastAsiaTheme="minorEastAsia" w:hAnsiTheme="minorHAnsi" w:cstheme="minorBidi"/>
                <w:sz w:val="22"/>
                <w:szCs w:val="22"/>
                <w:lang w:val="en-US" w:eastAsia="en-US"/>
              </w:rPr>
              <w:tab/>
            </w:r>
            <w:r w:rsidR="00222AF9" w:rsidRPr="005C5AF1">
              <w:rPr>
                <w:rStyle w:val="Hyperlink"/>
                <w:b/>
                <w:highlight w:val="yellow"/>
              </w:rPr>
              <w:t>Withdrawal from the Agreement</w:t>
            </w:r>
            <w:r w:rsidR="00222AF9" w:rsidRPr="00222AF9">
              <w:rPr>
                <w:webHidden/>
              </w:rPr>
              <w:tab/>
            </w:r>
            <w:r w:rsidR="00222AF9" w:rsidRPr="00222AF9">
              <w:rPr>
                <w:webHidden/>
              </w:rPr>
              <w:fldChar w:fldCharType="begin"/>
            </w:r>
            <w:r w:rsidR="00222AF9" w:rsidRPr="00222AF9">
              <w:rPr>
                <w:webHidden/>
              </w:rPr>
              <w:instrText xml:space="preserve"> PAGEREF _Toc375572567 \h </w:instrText>
            </w:r>
            <w:r w:rsidR="00222AF9" w:rsidRPr="00222AF9">
              <w:rPr>
                <w:webHidden/>
              </w:rPr>
            </w:r>
            <w:r w:rsidR="00222AF9" w:rsidRPr="00222AF9">
              <w:rPr>
                <w:webHidden/>
              </w:rPr>
              <w:fldChar w:fldCharType="separate"/>
            </w:r>
            <w:r w:rsidR="009176F0">
              <w:rPr>
                <w:webHidden/>
              </w:rPr>
              <w:t>15</w:t>
            </w:r>
            <w:r w:rsidR="00222AF9" w:rsidRPr="00222AF9">
              <w:rPr>
                <w:webHidden/>
              </w:rPr>
              <w:fldChar w:fldCharType="end"/>
            </w:r>
          </w:hyperlink>
        </w:p>
        <w:p w14:paraId="2B595F9F" w14:textId="77777777" w:rsidR="00222AF9" w:rsidRPr="00222AF9" w:rsidRDefault="006B76BF">
          <w:pPr>
            <w:pStyle w:val="TOC1"/>
            <w:rPr>
              <w:rFonts w:asciiTheme="minorHAnsi" w:eastAsiaTheme="minorEastAsia" w:hAnsiTheme="minorHAnsi" w:cstheme="minorBidi"/>
              <w:sz w:val="22"/>
              <w:szCs w:val="22"/>
              <w:lang w:val="en-US" w:eastAsia="en-US"/>
            </w:rPr>
          </w:pPr>
          <w:hyperlink w:anchor="_Toc375572569" w:history="1">
            <w:r w:rsidR="00222AF9" w:rsidRPr="008F1FB7">
              <w:rPr>
                <w:rStyle w:val="Hyperlink"/>
                <w:b/>
              </w:rPr>
              <w:t>15</w:t>
            </w:r>
            <w:r w:rsidR="00222AF9" w:rsidRPr="00222AF9">
              <w:rPr>
                <w:rFonts w:asciiTheme="minorHAnsi" w:eastAsiaTheme="minorEastAsia" w:hAnsiTheme="minorHAnsi" w:cstheme="minorBidi"/>
                <w:sz w:val="22"/>
                <w:szCs w:val="22"/>
                <w:lang w:val="en-US" w:eastAsia="en-US"/>
              </w:rPr>
              <w:tab/>
            </w:r>
            <w:r w:rsidR="00222AF9" w:rsidRPr="006D3478">
              <w:rPr>
                <w:rStyle w:val="Hyperlink"/>
                <w:b/>
              </w:rPr>
              <w:t>Termination of the Voluntary Agreement</w:t>
            </w:r>
            <w:r w:rsidR="00222AF9" w:rsidRPr="00222AF9">
              <w:rPr>
                <w:webHidden/>
              </w:rPr>
              <w:tab/>
            </w:r>
            <w:r w:rsidR="00222AF9" w:rsidRPr="00222AF9">
              <w:rPr>
                <w:webHidden/>
              </w:rPr>
              <w:fldChar w:fldCharType="begin"/>
            </w:r>
            <w:r w:rsidR="00222AF9" w:rsidRPr="00222AF9">
              <w:rPr>
                <w:webHidden/>
              </w:rPr>
              <w:instrText xml:space="preserve"> PAGEREF _Toc375572569 \h </w:instrText>
            </w:r>
            <w:r w:rsidR="00222AF9" w:rsidRPr="00222AF9">
              <w:rPr>
                <w:webHidden/>
              </w:rPr>
            </w:r>
            <w:r w:rsidR="00222AF9" w:rsidRPr="00222AF9">
              <w:rPr>
                <w:webHidden/>
              </w:rPr>
              <w:fldChar w:fldCharType="separate"/>
            </w:r>
            <w:r w:rsidR="009176F0">
              <w:rPr>
                <w:webHidden/>
              </w:rPr>
              <w:t>15</w:t>
            </w:r>
            <w:r w:rsidR="00222AF9" w:rsidRPr="00222AF9">
              <w:rPr>
                <w:webHidden/>
              </w:rPr>
              <w:fldChar w:fldCharType="end"/>
            </w:r>
          </w:hyperlink>
        </w:p>
        <w:p w14:paraId="1EB61D1F" w14:textId="77777777" w:rsidR="00222AF9" w:rsidRPr="00222AF9" w:rsidRDefault="006B76BF">
          <w:pPr>
            <w:pStyle w:val="TOC1"/>
            <w:rPr>
              <w:rFonts w:asciiTheme="minorHAnsi" w:eastAsiaTheme="minorEastAsia" w:hAnsiTheme="minorHAnsi" w:cstheme="minorBidi"/>
              <w:sz w:val="22"/>
              <w:szCs w:val="22"/>
              <w:lang w:val="en-US" w:eastAsia="en-US"/>
            </w:rPr>
          </w:pPr>
          <w:hyperlink w:anchor="_Toc375572570" w:history="1">
            <w:r w:rsidR="00222AF9" w:rsidRPr="006D3478">
              <w:rPr>
                <w:rStyle w:val="Hyperlink"/>
                <w:b/>
              </w:rPr>
              <w:t xml:space="preserve">Annex A: </w:t>
            </w:r>
            <w:r w:rsidR="00222AF9" w:rsidRPr="00222AF9">
              <w:rPr>
                <w:rStyle w:val="Hyperlink"/>
              </w:rPr>
              <w:t>Definitions</w:t>
            </w:r>
            <w:r w:rsidR="00222AF9" w:rsidRPr="00222AF9">
              <w:rPr>
                <w:webHidden/>
              </w:rPr>
              <w:tab/>
            </w:r>
            <w:r w:rsidR="00222AF9" w:rsidRPr="00222AF9">
              <w:rPr>
                <w:webHidden/>
              </w:rPr>
              <w:fldChar w:fldCharType="begin"/>
            </w:r>
            <w:r w:rsidR="00222AF9" w:rsidRPr="00222AF9">
              <w:rPr>
                <w:webHidden/>
              </w:rPr>
              <w:instrText xml:space="preserve"> PAGEREF _Toc375572570 \h </w:instrText>
            </w:r>
            <w:r w:rsidR="00222AF9" w:rsidRPr="00222AF9">
              <w:rPr>
                <w:webHidden/>
              </w:rPr>
            </w:r>
            <w:r w:rsidR="00222AF9" w:rsidRPr="00222AF9">
              <w:rPr>
                <w:webHidden/>
              </w:rPr>
              <w:fldChar w:fldCharType="separate"/>
            </w:r>
            <w:r w:rsidR="009176F0">
              <w:rPr>
                <w:webHidden/>
              </w:rPr>
              <w:t>16</w:t>
            </w:r>
            <w:r w:rsidR="00222AF9" w:rsidRPr="00222AF9">
              <w:rPr>
                <w:webHidden/>
              </w:rPr>
              <w:fldChar w:fldCharType="end"/>
            </w:r>
          </w:hyperlink>
        </w:p>
        <w:p w14:paraId="4B87F73E" w14:textId="77777777" w:rsidR="00222AF9" w:rsidRPr="00222AF9" w:rsidRDefault="006B76BF">
          <w:pPr>
            <w:pStyle w:val="TOC1"/>
            <w:rPr>
              <w:rFonts w:asciiTheme="minorHAnsi" w:eastAsiaTheme="minorEastAsia" w:hAnsiTheme="minorHAnsi" w:cstheme="minorBidi"/>
              <w:sz w:val="22"/>
              <w:szCs w:val="22"/>
              <w:lang w:val="en-US" w:eastAsia="en-US"/>
            </w:rPr>
          </w:pPr>
          <w:hyperlink w:anchor="_Toc375572571" w:history="1">
            <w:r w:rsidR="00222AF9" w:rsidRPr="006D3478">
              <w:rPr>
                <w:rStyle w:val="Hyperlink"/>
                <w:b/>
              </w:rPr>
              <w:t>Annex B:</w:t>
            </w:r>
            <w:r w:rsidR="00222AF9" w:rsidRPr="00222AF9">
              <w:rPr>
                <w:rStyle w:val="Hyperlink"/>
              </w:rPr>
              <w:t xml:space="preserve"> Calculating the compliance rate</w:t>
            </w:r>
            <w:r w:rsidR="00222AF9" w:rsidRPr="00222AF9">
              <w:rPr>
                <w:webHidden/>
              </w:rPr>
              <w:tab/>
            </w:r>
            <w:r w:rsidR="00222AF9" w:rsidRPr="00222AF9">
              <w:rPr>
                <w:webHidden/>
              </w:rPr>
              <w:fldChar w:fldCharType="begin"/>
            </w:r>
            <w:r w:rsidR="00222AF9" w:rsidRPr="00222AF9">
              <w:rPr>
                <w:webHidden/>
              </w:rPr>
              <w:instrText xml:space="preserve"> PAGEREF _Toc375572571 \h </w:instrText>
            </w:r>
            <w:r w:rsidR="00222AF9" w:rsidRPr="00222AF9">
              <w:rPr>
                <w:webHidden/>
              </w:rPr>
            </w:r>
            <w:r w:rsidR="00222AF9" w:rsidRPr="00222AF9">
              <w:rPr>
                <w:webHidden/>
              </w:rPr>
              <w:fldChar w:fldCharType="separate"/>
            </w:r>
            <w:r w:rsidR="009176F0">
              <w:rPr>
                <w:webHidden/>
              </w:rPr>
              <w:t>19</w:t>
            </w:r>
            <w:r w:rsidR="00222AF9" w:rsidRPr="00222AF9">
              <w:rPr>
                <w:webHidden/>
              </w:rPr>
              <w:fldChar w:fldCharType="end"/>
            </w:r>
          </w:hyperlink>
        </w:p>
        <w:p w14:paraId="784EB2CF" w14:textId="7C620F6F" w:rsidR="0039093A" w:rsidRPr="00222AF9" w:rsidRDefault="006B76BF" w:rsidP="0039093A">
          <w:pPr>
            <w:pStyle w:val="TOC1"/>
            <w:rPr>
              <w:rFonts w:asciiTheme="minorHAnsi" w:eastAsiaTheme="minorEastAsia" w:hAnsiTheme="minorHAnsi" w:cstheme="minorBidi"/>
              <w:sz w:val="22"/>
              <w:szCs w:val="22"/>
              <w:lang w:val="en-US" w:eastAsia="en-US"/>
            </w:rPr>
          </w:pPr>
          <w:hyperlink w:anchor="_Toc375572571" w:history="1">
            <w:r w:rsidR="0039093A" w:rsidRPr="00C05A8A">
              <w:rPr>
                <w:rStyle w:val="Hyperlink"/>
                <w:b/>
              </w:rPr>
              <w:t xml:space="preserve">Annex </w:t>
            </w:r>
            <w:r w:rsidR="0039093A" w:rsidRPr="00997281">
              <w:rPr>
                <w:rStyle w:val="Hyperlink"/>
                <w:b/>
                <w:highlight w:val="yellow"/>
              </w:rPr>
              <w:t>C</w:t>
            </w:r>
            <w:r w:rsidR="0039093A" w:rsidRPr="00C05A8A">
              <w:rPr>
                <w:rStyle w:val="Hyperlink"/>
                <w:b/>
              </w:rPr>
              <w:t>:</w:t>
            </w:r>
            <w:r w:rsidR="00EA4659" w:rsidRPr="00C05A8A">
              <w:rPr>
                <w:b/>
              </w:rPr>
              <w:t xml:space="preserve"> </w:t>
            </w:r>
            <w:r w:rsidR="00EA4659" w:rsidRPr="00FF2475">
              <w:t>Reporting form to be used to report to Independent Inspector</w:t>
            </w:r>
            <w:r w:rsidR="0039093A" w:rsidRPr="00C05A8A">
              <w:rPr>
                <w:webHidden/>
              </w:rPr>
              <w:tab/>
            </w:r>
            <w:r w:rsidR="00C05A8A" w:rsidRPr="00C05A8A">
              <w:rPr>
                <w:webHidden/>
              </w:rPr>
              <w:t>20</w:t>
            </w:r>
          </w:hyperlink>
        </w:p>
        <w:p w14:paraId="3A24DC37" w14:textId="77777777" w:rsidR="00222AF9" w:rsidRPr="00222AF9" w:rsidRDefault="006B76BF">
          <w:pPr>
            <w:pStyle w:val="TOC1"/>
            <w:rPr>
              <w:rFonts w:asciiTheme="minorHAnsi" w:eastAsiaTheme="minorEastAsia" w:hAnsiTheme="minorHAnsi" w:cstheme="minorBidi"/>
              <w:sz w:val="22"/>
              <w:szCs w:val="22"/>
              <w:lang w:val="en-US" w:eastAsia="en-US"/>
            </w:rPr>
          </w:pPr>
          <w:hyperlink w:anchor="_Toc375572572" w:history="1">
            <w:r w:rsidR="00222AF9" w:rsidRPr="006D3478">
              <w:rPr>
                <w:rStyle w:val="Hyperlink"/>
                <w:b/>
              </w:rPr>
              <w:t>Annex D:</w:t>
            </w:r>
            <w:r w:rsidR="00222AF9" w:rsidRPr="00222AF9">
              <w:rPr>
                <w:rStyle w:val="Hyperlink"/>
              </w:rPr>
              <w:t xml:space="preserve"> Signing Form</w:t>
            </w:r>
            <w:r w:rsidR="00222AF9" w:rsidRPr="00222AF9">
              <w:rPr>
                <w:webHidden/>
              </w:rPr>
              <w:tab/>
            </w:r>
            <w:r w:rsidR="00222AF9" w:rsidRPr="00222AF9">
              <w:rPr>
                <w:webHidden/>
              </w:rPr>
              <w:fldChar w:fldCharType="begin"/>
            </w:r>
            <w:r w:rsidR="00222AF9" w:rsidRPr="00222AF9">
              <w:rPr>
                <w:webHidden/>
              </w:rPr>
              <w:instrText xml:space="preserve"> PAGEREF _Toc375572572 \h </w:instrText>
            </w:r>
            <w:r w:rsidR="00222AF9" w:rsidRPr="00222AF9">
              <w:rPr>
                <w:webHidden/>
              </w:rPr>
            </w:r>
            <w:r w:rsidR="00222AF9" w:rsidRPr="00222AF9">
              <w:rPr>
                <w:webHidden/>
              </w:rPr>
              <w:fldChar w:fldCharType="separate"/>
            </w:r>
            <w:r w:rsidR="009176F0">
              <w:rPr>
                <w:webHidden/>
              </w:rPr>
              <w:t>23</w:t>
            </w:r>
            <w:r w:rsidR="00222AF9" w:rsidRPr="00222AF9">
              <w:rPr>
                <w:webHidden/>
              </w:rPr>
              <w:fldChar w:fldCharType="end"/>
            </w:r>
          </w:hyperlink>
        </w:p>
        <w:p w14:paraId="332109E4" w14:textId="77777777" w:rsidR="00222AF9" w:rsidRPr="00222AF9" w:rsidRDefault="006B76BF">
          <w:pPr>
            <w:pStyle w:val="TOC1"/>
            <w:rPr>
              <w:rFonts w:asciiTheme="minorHAnsi" w:eastAsiaTheme="minorEastAsia" w:hAnsiTheme="minorHAnsi" w:cstheme="minorBidi"/>
              <w:sz w:val="22"/>
              <w:szCs w:val="22"/>
              <w:highlight w:val="yellow"/>
              <w:lang w:val="en-US" w:eastAsia="en-US"/>
            </w:rPr>
          </w:pPr>
          <w:hyperlink w:anchor="_Toc375572573" w:history="1">
            <w:r w:rsidR="00222AF9" w:rsidRPr="006D3478">
              <w:rPr>
                <w:rStyle w:val="Hyperlink"/>
                <w:b/>
              </w:rPr>
              <w:t>Annex E:</w:t>
            </w:r>
            <w:r w:rsidR="00222AF9" w:rsidRPr="00222AF9">
              <w:rPr>
                <w:rStyle w:val="Hyperlink"/>
              </w:rPr>
              <w:t xml:space="preserve"> Example of Product Environmental Information</w:t>
            </w:r>
            <w:r w:rsidR="00222AF9" w:rsidRPr="00222AF9">
              <w:rPr>
                <w:webHidden/>
              </w:rPr>
              <w:tab/>
            </w:r>
            <w:r w:rsidR="00222AF9" w:rsidRPr="00222AF9">
              <w:rPr>
                <w:webHidden/>
              </w:rPr>
              <w:fldChar w:fldCharType="begin"/>
            </w:r>
            <w:r w:rsidR="00222AF9" w:rsidRPr="00222AF9">
              <w:rPr>
                <w:webHidden/>
              </w:rPr>
              <w:instrText xml:space="preserve"> PAGEREF _Toc375572573 \h </w:instrText>
            </w:r>
            <w:r w:rsidR="00222AF9" w:rsidRPr="00222AF9">
              <w:rPr>
                <w:webHidden/>
              </w:rPr>
            </w:r>
            <w:r w:rsidR="00222AF9" w:rsidRPr="00222AF9">
              <w:rPr>
                <w:webHidden/>
              </w:rPr>
              <w:fldChar w:fldCharType="separate"/>
            </w:r>
            <w:r w:rsidR="009176F0">
              <w:rPr>
                <w:webHidden/>
              </w:rPr>
              <w:t>24</w:t>
            </w:r>
            <w:r w:rsidR="00222AF9" w:rsidRPr="00222AF9">
              <w:rPr>
                <w:webHidden/>
              </w:rPr>
              <w:fldChar w:fldCharType="end"/>
            </w:r>
          </w:hyperlink>
        </w:p>
        <w:p w14:paraId="4FEE0A45" w14:textId="427CAF4F" w:rsidR="00D52EE3" w:rsidRPr="00222AF9" w:rsidRDefault="00D52EE3" w:rsidP="008818E0">
          <w:pPr>
            <w:contextualSpacing/>
            <w:jc w:val="both"/>
          </w:pPr>
          <w:r w:rsidRPr="00222AF9">
            <w:rPr>
              <w:bCs/>
              <w:noProof/>
              <w:highlight w:val="yellow"/>
            </w:rPr>
            <w:fldChar w:fldCharType="end"/>
          </w:r>
        </w:p>
      </w:sdtContent>
    </w:sdt>
    <w:p w14:paraId="1374F529" w14:textId="4A8A84E2" w:rsidR="00897FB1" w:rsidRPr="00CD5A46" w:rsidRDefault="00897FB1" w:rsidP="008818E0">
      <w:pPr>
        <w:contextualSpacing/>
        <w:jc w:val="both"/>
      </w:pPr>
    </w:p>
    <w:p w14:paraId="08EDDC99" w14:textId="77777777" w:rsidR="00C81ADC" w:rsidRPr="00CD5A46" w:rsidRDefault="00E51726" w:rsidP="008818E0">
      <w:pPr>
        <w:pStyle w:val="Heading1"/>
        <w:spacing w:before="0" w:after="0"/>
        <w:contextualSpacing/>
        <w:jc w:val="both"/>
      </w:pPr>
      <w:r w:rsidRPr="00CD5A46">
        <w:br w:type="page"/>
      </w:r>
      <w:bookmarkStart w:id="3" w:name="_Toc375572487"/>
      <w:r w:rsidR="00C81ADC" w:rsidRPr="00CD5A46">
        <w:lastRenderedPageBreak/>
        <w:t>Introduction</w:t>
      </w:r>
      <w:bookmarkEnd w:id="3"/>
    </w:p>
    <w:p w14:paraId="28347DA0" w14:textId="77777777" w:rsidR="0049341C" w:rsidRPr="00CD5A46" w:rsidRDefault="0049341C" w:rsidP="008818E0">
      <w:pPr>
        <w:contextualSpacing/>
        <w:jc w:val="both"/>
      </w:pPr>
    </w:p>
    <w:p w14:paraId="00C424C4" w14:textId="77777777" w:rsidR="00FC1350" w:rsidRPr="00CD5A46" w:rsidRDefault="00765038" w:rsidP="008818E0">
      <w:pPr>
        <w:autoSpaceDE w:val="0"/>
        <w:autoSpaceDN w:val="0"/>
        <w:adjustRightInd w:val="0"/>
        <w:contextualSpacing/>
        <w:jc w:val="both"/>
      </w:pPr>
      <w:r w:rsidRPr="00CD5A46">
        <w:t xml:space="preserve">The </w:t>
      </w:r>
      <w:r w:rsidR="00EB1250" w:rsidRPr="00CD5A46">
        <w:t xml:space="preserve">imaging industry </w:t>
      </w:r>
      <w:r w:rsidRPr="00CD5A46">
        <w:t xml:space="preserve">is an innovative industry with a long track record on environmental improvements. </w:t>
      </w:r>
      <w:r w:rsidR="00574FFE" w:rsidRPr="00CD5A46">
        <w:t xml:space="preserve">The </w:t>
      </w:r>
      <w:r w:rsidR="00EB1250" w:rsidRPr="00CD5A46">
        <w:t>imaging industry</w:t>
      </w:r>
      <w:r w:rsidR="000171C3" w:rsidRPr="007923E8">
        <w:t xml:space="preserve">, </w:t>
      </w:r>
      <w:r w:rsidR="000171C3" w:rsidRPr="00C5565B">
        <w:rPr>
          <w:highlight w:val="yellow"/>
        </w:rPr>
        <w:t>represented by EuroVAprint</w:t>
      </w:r>
      <w:r w:rsidR="000171C3" w:rsidRPr="00C5565B">
        <w:rPr>
          <w:rStyle w:val="FootnoteReference"/>
          <w:highlight w:val="yellow"/>
        </w:rPr>
        <w:footnoteReference w:id="1"/>
      </w:r>
      <w:r w:rsidR="00DF55EE" w:rsidRPr="00C5565B">
        <w:rPr>
          <w:highlight w:val="yellow"/>
        </w:rPr>
        <w:t>,</w:t>
      </w:r>
      <w:r w:rsidR="007E1AE0" w:rsidRPr="00CD5A46">
        <w:t xml:space="preserve"> wishes to</w:t>
      </w:r>
      <w:r w:rsidR="00DF55EE">
        <w:t xml:space="preserve"> </w:t>
      </w:r>
      <w:r w:rsidR="00DF55EE" w:rsidRPr="00C5565B">
        <w:rPr>
          <w:highlight w:val="yellow"/>
        </w:rPr>
        <w:t>reiterate</w:t>
      </w:r>
      <w:r w:rsidR="007E1AE0" w:rsidRPr="00CD5A46">
        <w:t xml:space="preserve"> </w:t>
      </w:r>
      <w:r w:rsidR="000171C3">
        <w:t>its</w:t>
      </w:r>
      <w:r w:rsidR="000171C3" w:rsidRPr="00CD5A46">
        <w:t xml:space="preserve"> </w:t>
      </w:r>
      <w:r w:rsidR="007E1AE0" w:rsidRPr="00CD5A46">
        <w:t xml:space="preserve">commitment to continuous improvement via this voluntary </w:t>
      </w:r>
      <w:r w:rsidR="00BF54D6" w:rsidRPr="00CD5A46">
        <w:t>a</w:t>
      </w:r>
      <w:r w:rsidR="007E1AE0" w:rsidRPr="00CD5A46">
        <w:t xml:space="preserve">greement </w:t>
      </w:r>
      <w:r w:rsidR="00141105" w:rsidRPr="00CD5A46">
        <w:t>(</w:t>
      </w:r>
      <w:r w:rsidR="00BF54D6" w:rsidRPr="00CD5A46">
        <w:t>“</w:t>
      </w:r>
      <w:r w:rsidR="00141105" w:rsidRPr="00CD5A46">
        <w:t>V</w:t>
      </w:r>
      <w:r w:rsidR="00BF54D6" w:rsidRPr="00CD5A46">
        <w:t xml:space="preserve">oluntary </w:t>
      </w:r>
      <w:r w:rsidR="007E1AE0" w:rsidRPr="00CD5A46">
        <w:t>Agreement</w:t>
      </w:r>
      <w:r w:rsidR="00BF54D6" w:rsidRPr="00CD5A46">
        <w:t>”</w:t>
      </w:r>
      <w:r w:rsidR="00141105" w:rsidRPr="00CD5A46">
        <w:t>)</w:t>
      </w:r>
      <w:r w:rsidR="003C5020" w:rsidRPr="00CD5A46">
        <w:t xml:space="preserve"> </w:t>
      </w:r>
      <w:r w:rsidR="00141105" w:rsidRPr="00CD5A46">
        <w:t xml:space="preserve">which </w:t>
      </w:r>
      <w:r w:rsidR="000171C3">
        <w:t>it</w:t>
      </w:r>
      <w:r w:rsidR="000171C3" w:rsidRPr="00CD5A46">
        <w:t xml:space="preserve"> </w:t>
      </w:r>
      <w:r w:rsidR="00141105" w:rsidRPr="00CD5A46">
        <w:t>believe</w:t>
      </w:r>
      <w:r w:rsidR="000171C3">
        <w:t>s</w:t>
      </w:r>
      <w:r w:rsidR="003C5020" w:rsidRPr="00CD5A46">
        <w:t xml:space="preserve"> </w:t>
      </w:r>
      <w:r w:rsidR="007E1AE0" w:rsidRPr="00CD5A46">
        <w:t>will help to</w:t>
      </w:r>
      <w:r w:rsidR="00223DE2" w:rsidRPr="00CD5A46">
        <w:t xml:space="preserve"> contribute to the achievement of the EU Action Plan on Energy Efficiency</w:t>
      </w:r>
      <w:r w:rsidR="00FC1350" w:rsidRPr="00CD5A46">
        <w:t xml:space="preserve">. It is expected that the proposed </w:t>
      </w:r>
      <w:r w:rsidR="009412E0" w:rsidRPr="00CD5A46">
        <w:t>C</w:t>
      </w:r>
      <w:r w:rsidR="00FC1350" w:rsidRPr="00CD5A46">
        <w:t xml:space="preserve">ommitments </w:t>
      </w:r>
      <w:r w:rsidR="009412E0" w:rsidRPr="00CD5A46">
        <w:t>as defined herein</w:t>
      </w:r>
      <w:r w:rsidR="00FC1350" w:rsidRPr="00CD5A46">
        <w:t xml:space="preserve"> will enable </w:t>
      </w:r>
      <w:r w:rsidR="00FC52A2" w:rsidRPr="002D40E1">
        <w:rPr>
          <w:highlight w:val="yellow"/>
        </w:rPr>
        <w:t xml:space="preserve">direct electricity savings of 25 </w:t>
      </w:r>
      <w:proofErr w:type="spellStart"/>
      <w:r w:rsidR="00FC52A2" w:rsidRPr="002D40E1">
        <w:rPr>
          <w:highlight w:val="yellow"/>
        </w:rPr>
        <w:t>TWh</w:t>
      </w:r>
      <w:proofErr w:type="spellEnd"/>
      <w:r w:rsidR="00FC52A2" w:rsidRPr="002D40E1">
        <w:rPr>
          <w:highlight w:val="yellow"/>
        </w:rPr>
        <w:t xml:space="preserve"> per year in the EU</w:t>
      </w:r>
      <w:r w:rsidR="00693137">
        <w:rPr>
          <w:rStyle w:val="FootnoteReference"/>
          <w:highlight w:val="yellow"/>
        </w:rPr>
        <w:footnoteReference w:id="2"/>
      </w:r>
      <w:r w:rsidR="00FC52A2">
        <w:t xml:space="preserve"> </w:t>
      </w:r>
      <w:r w:rsidR="00264798" w:rsidRPr="00CD5A46">
        <w:t xml:space="preserve">excluding the </w:t>
      </w:r>
      <w:r w:rsidR="004846DF" w:rsidRPr="00CD5A46">
        <w:t xml:space="preserve">additional </w:t>
      </w:r>
      <w:r w:rsidR="00264798" w:rsidRPr="00CD5A46">
        <w:t>savings that will be made through increased</w:t>
      </w:r>
      <w:r w:rsidR="00FC1350" w:rsidRPr="00CD5A46">
        <w:t xml:space="preserve"> resource </w:t>
      </w:r>
      <w:r w:rsidR="00264798" w:rsidRPr="00CD5A46">
        <w:t>efficiency.</w:t>
      </w:r>
      <w:r w:rsidR="00073090" w:rsidRPr="00CD5A46">
        <w:t xml:space="preserve"> </w:t>
      </w:r>
      <w:r w:rsidR="00264798" w:rsidRPr="00CD5A46">
        <w:t>Th</w:t>
      </w:r>
      <w:r w:rsidR="00141105" w:rsidRPr="00CD5A46">
        <w:t>is</w:t>
      </w:r>
      <w:r w:rsidR="00264798" w:rsidRPr="00CD5A46">
        <w:t xml:space="preserve"> </w:t>
      </w:r>
      <w:r w:rsidR="00BF54D6" w:rsidRPr="00CD5A46">
        <w:t xml:space="preserve">Voluntary Agreement </w:t>
      </w:r>
      <w:r w:rsidR="00141105" w:rsidRPr="00CD5A46">
        <w:t>should enable</w:t>
      </w:r>
      <w:r w:rsidR="00264798" w:rsidRPr="00CD5A46">
        <w:t xml:space="preserve"> customer</w:t>
      </w:r>
      <w:r w:rsidR="00BE5BB3" w:rsidRPr="00CD5A46">
        <w:t>s</w:t>
      </w:r>
      <w:r w:rsidR="00264798" w:rsidRPr="00CD5A46">
        <w:t xml:space="preserve"> to </w:t>
      </w:r>
      <w:r w:rsidR="00141105" w:rsidRPr="00CD5A46">
        <w:t xml:space="preserve">make </w:t>
      </w:r>
      <w:r w:rsidR="003E32D8" w:rsidRPr="00CD5A46">
        <w:t>more</w:t>
      </w:r>
      <w:r w:rsidR="00EE47D5" w:rsidRPr="00CD5A46">
        <w:t xml:space="preserve"> </w:t>
      </w:r>
      <w:r w:rsidR="00264798" w:rsidRPr="00CD5A46">
        <w:t>sustainable purchas</w:t>
      </w:r>
      <w:r w:rsidR="00BE5BB3" w:rsidRPr="00CD5A46">
        <w:t>ing</w:t>
      </w:r>
      <w:r w:rsidR="00264798" w:rsidRPr="00CD5A46">
        <w:t xml:space="preserve"> decisions by providing </w:t>
      </w:r>
      <w:r w:rsidR="00141105" w:rsidRPr="00CD5A46">
        <w:t xml:space="preserve">them </w:t>
      </w:r>
      <w:r w:rsidR="00264798" w:rsidRPr="00CD5A46">
        <w:t>more</w:t>
      </w:r>
      <w:r w:rsidR="00EE47D5" w:rsidRPr="00CD5A46">
        <w:t xml:space="preserve"> accurate</w:t>
      </w:r>
      <w:r w:rsidR="00264798" w:rsidRPr="00CD5A46">
        <w:t xml:space="preserve"> information on</w:t>
      </w:r>
      <w:r w:rsidR="00FC1350" w:rsidRPr="00CD5A46">
        <w:t xml:space="preserve"> the environmental performance of </w:t>
      </w:r>
      <w:r w:rsidR="00141105" w:rsidRPr="00CD5A46">
        <w:t xml:space="preserve">our </w:t>
      </w:r>
      <w:r w:rsidR="00FC1350" w:rsidRPr="00CD5A46">
        <w:t>products</w:t>
      </w:r>
      <w:r w:rsidR="00264798" w:rsidRPr="00CD5A46">
        <w:t>.</w:t>
      </w:r>
    </w:p>
    <w:p w14:paraId="7FC32B2C" w14:textId="77777777" w:rsidR="00264798" w:rsidRPr="00CD5A46" w:rsidRDefault="00264798" w:rsidP="008818E0">
      <w:pPr>
        <w:contextualSpacing/>
        <w:jc w:val="both"/>
      </w:pPr>
    </w:p>
    <w:p w14:paraId="7D5C2B1F" w14:textId="77777777" w:rsidR="000E73AB" w:rsidRDefault="000171C3" w:rsidP="008818E0">
      <w:pPr>
        <w:contextualSpacing/>
        <w:jc w:val="both"/>
      </w:pPr>
      <w:r w:rsidRPr="00C5565B">
        <w:rPr>
          <w:highlight w:val="yellow"/>
        </w:rPr>
        <w:t xml:space="preserve">With over two years (2011-2012) of hindsight with the previous iteration of the Voluntary Agreement, </w:t>
      </w:r>
      <w:r w:rsidR="000E73AB" w:rsidRPr="00C5565B">
        <w:rPr>
          <w:highlight w:val="yellow"/>
        </w:rPr>
        <w:t>t</w:t>
      </w:r>
      <w:r w:rsidR="00334024" w:rsidRPr="00C5565B">
        <w:rPr>
          <w:highlight w:val="yellow"/>
        </w:rPr>
        <w:t xml:space="preserve">he </w:t>
      </w:r>
      <w:r w:rsidR="00EB1250" w:rsidRPr="00C5565B">
        <w:rPr>
          <w:highlight w:val="yellow"/>
        </w:rPr>
        <w:t>imaging industry</w:t>
      </w:r>
      <w:r w:rsidR="00334024" w:rsidRPr="00C5565B">
        <w:rPr>
          <w:highlight w:val="yellow"/>
        </w:rPr>
        <w:t xml:space="preserve"> </w:t>
      </w:r>
      <w:r w:rsidR="000E73AB" w:rsidRPr="00C5565B">
        <w:rPr>
          <w:highlight w:val="yellow"/>
        </w:rPr>
        <w:t xml:space="preserve">is now embarked in a revision of its commitments for the years 2014 and beyond. Since autumn </w:t>
      </w:r>
      <w:r w:rsidR="002333FC" w:rsidRPr="00C5565B">
        <w:rPr>
          <w:highlight w:val="yellow"/>
        </w:rPr>
        <w:t>2012</w:t>
      </w:r>
      <w:r w:rsidR="000E73AB" w:rsidRPr="00C5565B">
        <w:rPr>
          <w:highlight w:val="yellow"/>
        </w:rPr>
        <w:t>, EuroVAprint started consultations at internal and external levels (stakeholders) and has set itself ambitious targets to be adopted under a tight timeframe.</w:t>
      </w:r>
      <w:r w:rsidR="000E73AB">
        <w:t xml:space="preserve"> </w:t>
      </w:r>
      <w:r w:rsidR="00334024" w:rsidRPr="00CD5A46">
        <w:t xml:space="preserve"> </w:t>
      </w:r>
    </w:p>
    <w:p w14:paraId="53EF3E78" w14:textId="77777777" w:rsidR="000E73AB" w:rsidRDefault="000E73AB" w:rsidP="008818E0">
      <w:pPr>
        <w:contextualSpacing/>
        <w:jc w:val="both"/>
      </w:pPr>
    </w:p>
    <w:p w14:paraId="1C3C6553" w14:textId="77777777" w:rsidR="00BA2A64" w:rsidRPr="00CD5A46" w:rsidRDefault="00334024" w:rsidP="008818E0">
      <w:pPr>
        <w:contextualSpacing/>
        <w:jc w:val="both"/>
      </w:pPr>
      <w:r w:rsidRPr="00CD5A46">
        <w:t xml:space="preserve">The market coverage of the companies involved in the </w:t>
      </w:r>
      <w:r w:rsidR="000E73AB" w:rsidRPr="00C5565B">
        <w:rPr>
          <w:highlight w:val="yellow"/>
        </w:rPr>
        <w:t>revision of the VA remains in excess of</w:t>
      </w:r>
      <w:r w:rsidR="000E73AB">
        <w:t xml:space="preserve"> </w:t>
      </w:r>
      <w:r w:rsidR="004040CD" w:rsidRPr="00CD5A46">
        <w:rPr>
          <w:b/>
        </w:rPr>
        <w:t>95</w:t>
      </w:r>
      <w:r w:rsidR="00EE5DB3" w:rsidRPr="00CD5A46">
        <w:rPr>
          <w:b/>
        </w:rPr>
        <w:t>%</w:t>
      </w:r>
      <w:r w:rsidR="00EE5DB3" w:rsidRPr="00CD5A46">
        <w:t xml:space="preserve"> </w:t>
      </w:r>
      <w:r w:rsidR="000E73AB">
        <w:t>of</w:t>
      </w:r>
      <w:r w:rsidRPr="00CD5A46">
        <w:t xml:space="preserve"> units sold</w:t>
      </w:r>
      <w:r w:rsidR="00EE47D5" w:rsidRPr="00CD5A46">
        <w:t xml:space="preserve"> in the EU</w:t>
      </w:r>
      <w:r w:rsidRPr="00CD5A46">
        <w:t xml:space="preserve">. The goal is to continue to expand the coverage </w:t>
      </w:r>
      <w:r w:rsidR="00790FED" w:rsidRPr="00CD5A46">
        <w:t xml:space="preserve">of the </w:t>
      </w:r>
      <w:r w:rsidR="000E73AB">
        <w:t>V</w:t>
      </w:r>
      <w:r w:rsidR="000E73AB" w:rsidRPr="00CD5A46">
        <w:t xml:space="preserve">oluntary </w:t>
      </w:r>
      <w:r w:rsidR="000E73AB">
        <w:t>A</w:t>
      </w:r>
      <w:r w:rsidR="000E73AB" w:rsidRPr="00CD5A46">
        <w:t xml:space="preserve">greement </w:t>
      </w:r>
      <w:r w:rsidR="00790FED" w:rsidRPr="00CD5A46">
        <w:t>and to i</w:t>
      </w:r>
      <w:r w:rsidRPr="00CD5A46">
        <w:t xml:space="preserve">nclude as many companies as possible. </w:t>
      </w:r>
    </w:p>
    <w:p w14:paraId="5407F1ED" w14:textId="77777777" w:rsidR="00BA2A64" w:rsidRPr="00CD5A46" w:rsidRDefault="00BA2A64" w:rsidP="008818E0">
      <w:pPr>
        <w:contextualSpacing/>
        <w:jc w:val="both"/>
      </w:pPr>
    </w:p>
    <w:p w14:paraId="4FD8E398" w14:textId="77777777" w:rsidR="00CB465C" w:rsidRDefault="00264798" w:rsidP="008818E0">
      <w:pPr>
        <w:contextualSpacing/>
        <w:jc w:val="both"/>
      </w:pPr>
      <w:r w:rsidRPr="00CD5A46">
        <w:t xml:space="preserve">The scope of the </w:t>
      </w:r>
      <w:r w:rsidR="00CB465C">
        <w:t>V</w:t>
      </w:r>
      <w:r w:rsidR="00CB465C" w:rsidRPr="00CD5A46">
        <w:t xml:space="preserve">oluntary </w:t>
      </w:r>
      <w:r w:rsidR="00CB465C">
        <w:t>A</w:t>
      </w:r>
      <w:r w:rsidR="00CB465C" w:rsidRPr="00CD5A46">
        <w:t xml:space="preserve">greement </w:t>
      </w:r>
      <w:r w:rsidRPr="00CD5A46">
        <w:t xml:space="preserve">is based </w:t>
      </w:r>
      <w:r w:rsidR="00EE5DB3" w:rsidRPr="00CD5A46">
        <w:t>on the</w:t>
      </w:r>
      <w:r w:rsidR="00141105" w:rsidRPr="00CD5A46">
        <w:t xml:space="preserve"> </w:t>
      </w:r>
      <w:proofErr w:type="spellStart"/>
      <w:r w:rsidR="00EB1250" w:rsidRPr="00CD5A46">
        <w:t>ErP</w:t>
      </w:r>
      <w:proofErr w:type="spellEnd"/>
      <w:r w:rsidR="00141105" w:rsidRPr="00CD5A46">
        <w:t xml:space="preserve"> Preparatory Study and linked with</w:t>
      </w:r>
      <w:r w:rsidR="00B96D1C" w:rsidRPr="00CD5A46">
        <w:t xml:space="preserve"> </w:t>
      </w:r>
      <w:r w:rsidR="002724D0" w:rsidRPr="00CD5A46">
        <w:t xml:space="preserve">ENERGY STAR®. </w:t>
      </w:r>
      <w:r w:rsidR="00141105" w:rsidRPr="00CD5A46">
        <w:t>It</w:t>
      </w:r>
      <w:r w:rsidR="003C5020" w:rsidRPr="00CD5A46">
        <w:t xml:space="preserve"> </w:t>
      </w:r>
      <w:r w:rsidRPr="00CD5A46">
        <w:t xml:space="preserve">aims to target the highest </w:t>
      </w:r>
      <w:r w:rsidR="00511EFC" w:rsidRPr="00CD5A46">
        <w:t xml:space="preserve">sales </w:t>
      </w:r>
      <w:r w:rsidRPr="00CD5A46">
        <w:t>volume products and technologies on the</w:t>
      </w:r>
      <w:r w:rsidR="00511EFC" w:rsidRPr="00CD5A46">
        <w:t xml:space="preserve"> household and office</w:t>
      </w:r>
      <w:r w:rsidRPr="00CD5A46">
        <w:t xml:space="preserve"> market.</w:t>
      </w:r>
      <w:r w:rsidR="00734B05">
        <w:t xml:space="preserve"> </w:t>
      </w:r>
      <w:r w:rsidR="003C5020" w:rsidRPr="00CD5A46">
        <w:t xml:space="preserve">It became clear from the </w:t>
      </w:r>
      <w:proofErr w:type="spellStart"/>
      <w:r w:rsidR="00EB1250" w:rsidRPr="00CD5A46">
        <w:t>ErP</w:t>
      </w:r>
      <w:proofErr w:type="spellEnd"/>
      <w:r w:rsidR="003C5020" w:rsidRPr="00CD5A46">
        <w:t xml:space="preserve"> Preparatory Studies on “Imaging Equipment” (Lot 4), that th</w:t>
      </w:r>
      <w:r w:rsidR="00CB465C">
        <w:t>is</w:t>
      </w:r>
      <w:r w:rsidR="003C5020" w:rsidRPr="00CD5A46">
        <w:t xml:space="preserve"> product category contains a wide variety of product types, designed and marketed</w:t>
      </w:r>
      <w:r w:rsidR="007456D0" w:rsidRPr="00CD5A46">
        <w:t xml:space="preserve"> </w:t>
      </w:r>
      <w:r w:rsidR="003C5020" w:rsidRPr="00CD5A46">
        <w:t xml:space="preserve">for a wide variety of markets and applications. Products range from a very affordable personal </w:t>
      </w:r>
      <w:r w:rsidR="00EE5DB3" w:rsidRPr="00CD5A46">
        <w:t>printer that</w:t>
      </w:r>
      <w:r w:rsidR="003C5020" w:rsidRPr="00CD5A46">
        <w:t xml:space="preserve"> is used occasionally by a private household user, </w:t>
      </w:r>
      <w:r w:rsidR="003E32D8" w:rsidRPr="00CD5A46">
        <w:t>through</w:t>
      </w:r>
      <w:r w:rsidR="003C5020" w:rsidRPr="00CD5A46">
        <w:t xml:space="preserve"> multifunctional devices used in offices to accommodate the daily needs for copying, printing, scanning and faxing of documents for groups of office workers, up to highly productive printing systems that are designed to run continuously in </w:t>
      </w:r>
      <w:r w:rsidR="007456D0" w:rsidRPr="00CD5A46">
        <w:t>print rooms</w:t>
      </w:r>
      <w:r w:rsidR="003C5020" w:rsidRPr="00CD5A46">
        <w:t xml:space="preserve">. </w:t>
      </w:r>
    </w:p>
    <w:p w14:paraId="4EA01788" w14:textId="77777777" w:rsidR="00CB465C" w:rsidRDefault="00CB465C" w:rsidP="008818E0">
      <w:pPr>
        <w:contextualSpacing/>
        <w:jc w:val="both"/>
      </w:pPr>
    </w:p>
    <w:p w14:paraId="7D8E9E6A" w14:textId="77777777" w:rsidR="003C5020" w:rsidRPr="00CD5A46" w:rsidRDefault="003C5020" w:rsidP="008818E0">
      <w:pPr>
        <w:contextualSpacing/>
        <w:jc w:val="both"/>
      </w:pPr>
      <w:r w:rsidRPr="00CD5A46">
        <w:t xml:space="preserve">When setting out to develop the underlying Voluntary Agreement, the </w:t>
      </w:r>
      <w:r w:rsidR="00EB1250" w:rsidRPr="00CD5A46">
        <w:t xml:space="preserve">imaging </w:t>
      </w:r>
      <w:r w:rsidR="005719CA" w:rsidRPr="00CD5A46">
        <w:t>industry was</w:t>
      </w:r>
      <w:r w:rsidRPr="00CD5A46">
        <w:t xml:space="preserve"> faced with the challenge to formulate requirements that are not only relevant and significant for achieving environmental efficiency, but also applicable to the wide range of different imaging products present in the market. Despite the fact that the </w:t>
      </w:r>
      <w:r w:rsidR="00EB1250" w:rsidRPr="00CD5A46">
        <w:t>imaging industry</w:t>
      </w:r>
      <w:r w:rsidR="004040CD" w:rsidRPr="00CD5A46">
        <w:t xml:space="preserve"> </w:t>
      </w:r>
      <w:r w:rsidR="00EB1250" w:rsidRPr="00CD5A46">
        <w:t>focused</w:t>
      </w:r>
      <w:r w:rsidRPr="00CD5A46">
        <w:t xml:space="preserve"> on the products that are sold in the highest numbers, by limiting the product scope to household and office equipment, </w:t>
      </w:r>
      <w:r w:rsidR="005719CA" w:rsidRPr="00CD5A46">
        <w:t>the problem of diversity still</w:t>
      </w:r>
      <w:r w:rsidR="005D3AA1" w:rsidRPr="00CD5A46">
        <w:t xml:space="preserve"> </w:t>
      </w:r>
      <w:r w:rsidRPr="00CD5A46">
        <w:t xml:space="preserve">remained, which is mainly driven by the wide variety of customer </w:t>
      </w:r>
      <w:r w:rsidR="007456D0" w:rsidRPr="00CD5A46">
        <w:t>requirements</w:t>
      </w:r>
      <w:r w:rsidRPr="00CD5A46">
        <w:t xml:space="preserve"> in the imaging market.</w:t>
      </w:r>
    </w:p>
    <w:p w14:paraId="63603A9F" w14:textId="77777777" w:rsidR="003C5020" w:rsidRPr="00CD5A46" w:rsidRDefault="003C5020" w:rsidP="008818E0">
      <w:pPr>
        <w:contextualSpacing/>
        <w:jc w:val="both"/>
      </w:pPr>
    </w:p>
    <w:p w14:paraId="7DB5D82C" w14:textId="77777777" w:rsidR="003C5020" w:rsidRPr="00CD5A46" w:rsidRDefault="003C5020" w:rsidP="008818E0">
      <w:pPr>
        <w:contextualSpacing/>
        <w:jc w:val="both"/>
        <w:rPr>
          <w:rFonts w:ascii="Times New Roman" w:hAnsi="Times New Roman" w:cs="Times New Roman"/>
          <w:sz w:val="24"/>
          <w:szCs w:val="24"/>
        </w:rPr>
      </w:pPr>
      <w:r w:rsidRPr="00CD5A46">
        <w:t>For the reasons outline</w:t>
      </w:r>
      <w:r w:rsidR="005555CE" w:rsidRPr="00CD5A46">
        <w:t>d</w:t>
      </w:r>
      <w:r w:rsidRPr="00CD5A46">
        <w:t xml:space="preserve"> above, the </w:t>
      </w:r>
      <w:r w:rsidR="00EB1250" w:rsidRPr="00CD5A46">
        <w:t>imaging industry</w:t>
      </w:r>
      <w:r w:rsidRPr="00CD5A46">
        <w:t xml:space="preserve"> will commit to the requirements in this Voluntary Agreement for the vast majority of </w:t>
      </w:r>
      <w:r w:rsidR="00F9439C" w:rsidRPr="00CD5A46">
        <w:t xml:space="preserve">its </w:t>
      </w:r>
      <w:r w:rsidRPr="00CD5A46">
        <w:t>products</w:t>
      </w:r>
      <w:r w:rsidR="00F9439C" w:rsidRPr="00CD5A46">
        <w:t>.</w:t>
      </w:r>
      <w:r w:rsidRPr="00CD5A46">
        <w:t xml:space="preserve"> </w:t>
      </w:r>
      <w:r w:rsidR="00EE5DB3" w:rsidRPr="00CD5A46">
        <w:t>Nevertheless</w:t>
      </w:r>
      <w:r w:rsidR="00F9439C" w:rsidRPr="00CD5A46">
        <w:t xml:space="preserve"> </w:t>
      </w:r>
      <w:r w:rsidRPr="00CD5A46">
        <w:t xml:space="preserve">the allowance of exemptions could not be avoided. </w:t>
      </w:r>
    </w:p>
    <w:p w14:paraId="44331E33" w14:textId="77777777" w:rsidR="003C5020" w:rsidRPr="00CD5A46" w:rsidRDefault="003C5020" w:rsidP="008818E0">
      <w:pPr>
        <w:contextualSpacing/>
        <w:jc w:val="both"/>
      </w:pPr>
    </w:p>
    <w:p w14:paraId="781A5B12" w14:textId="6164765C" w:rsidR="00107C5F" w:rsidRPr="00CD5A46" w:rsidRDefault="001B2873" w:rsidP="008818E0">
      <w:pPr>
        <w:contextualSpacing/>
        <w:jc w:val="both"/>
      </w:pPr>
      <w:r w:rsidRPr="00CD5A46">
        <w:t>In line with the European Commission</w:t>
      </w:r>
      <w:r w:rsidR="00EB1250" w:rsidRPr="00CD5A46">
        <w:t>’s</w:t>
      </w:r>
      <w:r w:rsidRPr="00CD5A46">
        <w:t xml:space="preserve"> Communication on Environmental Agreements at Community level within the Framework of the Action Plan on the Simplification and Improvement of the Regulatory Environment, this </w:t>
      </w:r>
      <w:r w:rsidR="00EB1250" w:rsidRPr="00CD5A46">
        <w:t xml:space="preserve">Voluntary </w:t>
      </w:r>
      <w:r w:rsidR="00FA3A26" w:rsidRPr="00CD5A46">
        <w:t>Agreement</w:t>
      </w:r>
      <w:r w:rsidRPr="00CD5A46">
        <w:t xml:space="preserve"> </w:t>
      </w:r>
      <w:r w:rsidR="005C1080" w:rsidRPr="00C5565B">
        <w:rPr>
          <w:highlight w:val="yellow"/>
        </w:rPr>
        <w:t>has been</w:t>
      </w:r>
      <w:r w:rsidR="005C1080">
        <w:t xml:space="preserve"> </w:t>
      </w:r>
      <w:r w:rsidRPr="00CD5A46">
        <w:t xml:space="preserve">acknowledged by the European Commission through </w:t>
      </w:r>
      <w:r w:rsidR="0091185C" w:rsidRPr="00CD5A46">
        <w:t xml:space="preserve">a </w:t>
      </w:r>
      <w:r w:rsidR="008223F2">
        <w:t>Report to the European Parliament and the Council</w:t>
      </w:r>
      <w:r w:rsidR="005C1080">
        <w:t xml:space="preserve"> </w:t>
      </w:r>
      <w:r w:rsidR="005C1080" w:rsidRPr="00C5565B">
        <w:rPr>
          <w:highlight w:val="yellow"/>
        </w:rPr>
        <w:t>published on 29 January 2013</w:t>
      </w:r>
      <w:r w:rsidR="00777DCC">
        <w:rPr>
          <w:rStyle w:val="FootnoteReference"/>
          <w:highlight w:val="yellow"/>
        </w:rPr>
        <w:footnoteReference w:id="3"/>
      </w:r>
      <w:r w:rsidR="005C1080" w:rsidRPr="00C5565B">
        <w:rPr>
          <w:highlight w:val="yellow"/>
        </w:rPr>
        <w:t>.</w:t>
      </w:r>
      <w:r w:rsidR="005C1080">
        <w:t xml:space="preserve"> </w:t>
      </w:r>
      <w:r w:rsidR="004040CD" w:rsidRPr="00CD5A46">
        <w:t xml:space="preserve"> </w:t>
      </w:r>
    </w:p>
    <w:p w14:paraId="2624CBDC" w14:textId="66ABE163" w:rsidR="00285637" w:rsidRDefault="00285637" w:rsidP="008818E0">
      <w:pPr>
        <w:contextualSpacing/>
        <w:jc w:val="both"/>
      </w:pPr>
      <w:r>
        <w:br w:type="page"/>
      </w:r>
    </w:p>
    <w:p w14:paraId="6CAD7662" w14:textId="77777777" w:rsidR="00CD5A46" w:rsidRDefault="00CD5A46" w:rsidP="008818E0">
      <w:pPr>
        <w:contextualSpacing/>
        <w:jc w:val="both"/>
      </w:pPr>
      <w:r w:rsidRPr="009B3D1D">
        <w:lastRenderedPageBreak/>
        <w:t>The Signatories of this Voluntary Agreement are:</w:t>
      </w:r>
    </w:p>
    <w:p w14:paraId="74F0E237" w14:textId="77777777" w:rsidR="00285637" w:rsidRPr="009B3D1D" w:rsidRDefault="00285637" w:rsidP="008818E0">
      <w:pPr>
        <w:contextualSpacing/>
        <w:jc w:val="both"/>
      </w:pPr>
    </w:p>
    <w:p w14:paraId="55A38809" w14:textId="77777777" w:rsidR="009B3D1D" w:rsidRPr="009B3D1D" w:rsidRDefault="009B3D1D" w:rsidP="008818E0">
      <w:pPr>
        <w:pStyle w:val="ListParagraph"/>
        <w:numPr>
          <w:ilvl w:val="0"/>
          <w:numId w:val="9"/>
        </w:numPr>
        <w:jc w:val="both"/>
        <w:rPr>
          <w:rFonts w:ascii="Arial" w:hAnsi="Arial"/>
          <w:sz w:val="20"/>
          <w:szCs w:val="20"/>
        </w:rPr>
      </w:pPr>
      <w:r w:rsidRPr="009B3D1D">
        <w:rPr>
          <w:rFonts w:ascii="Arial" w:hAnsi="Arial"/>
          <w:sz w:val="20"/>
          <w:szCs w:val="20"/>
        </w:rPr>
        <w:t>Brother International Europe</w:t>
      </w:r>
    </w:p>
    <w:p w14:paraId="7DA6939D" w14:textId="77777777" w:rsidR="009B3D1D" w:rsidRPr="009B3D1D" w:rsidRDefault="009B3D1D" w:rsidP="008818E0">
      <w:pPr>
        <w:pStyle w:val="ListParagraph"/>
        <w:numPr>
          <w:ilvl w:val="0"/>
          <w:numId w:val="9"/>
        </w:numPr>
        <w:jc w:val="both"/>
        <w:rPr>
          <w:rFonts w:ascii="Arial" w:hAnsi="Arial"/>
          <w:sz w:val="20"/>
          <w:szCs w:val="20"/>
        </w:rPr>
      </w:pPr>
      <w:r w:rsidRPr="009B3D1D">
        <w:rPr>
          <w:rFonts w:ascii="Arial" w:hAnsi="Arial"/>
          <w:sz w:val="20"/>
          <w:szCs w:val="20"/>
        </w:rPr>
        <w:t>Canon</w:t>
      </w:r>
      <w:r w:rsidR="00EE348E">
        <w:rPr>
          <w:rFonts w:ascii="Arial" w:hAnsi="Arial"/>
          <w:sz w:val="20"/>
          <w:szCs w:val="20"/>
        </w:rPr>
        <w:t xml:space="preserve"> Europe Ltd.</w:t>
      </w:r>
    </w:p>
    <w:p w14:paraId="7A79DFC6" w14:textId="77777777" w:rsidR="009B3D1D" w:rsidRPr="009B3D1D" w:rsidRDefault="009B3D1D" w:rsidP="008818E0">
      <w:pPr>
        <w:pStyle w:val="ListParagraph"/>
        <w:numPr>
          <w:ilvl w:val="0"/>
          <w:numId w:val="9"/>
        </w:numPr>
        <w:jc w:val="both"/>
        <w:rPr>
          <w:rFonts w:ascii="Arial" w:hAnsi="Arial"/>
          <w:sz w:val="20"/>
          <w:szCs w:val="20"/>
        </w:rPr>
      </w:pPr>
      <w:r w:rsidRPr="009B3D1D">
        <w:rPr>
          <w:rFonts w:ascii="Arial" w:hAnsi="Arial"/>
          <w:sz w:val="20"/>
          <w:szCs w:val="20"/>
        </w:rPr>
        <w:t>Dell</w:t>
      </w:r>
    </w:p>
    <w:p w14:paraId="308AA4F1" w14:textId="77777777" w:rsidR="009B3D1D" w:rsidRPr="009B3D1D" w:rsidRDefault="009B3D1D" w:rsidP="008818E0">
      <w:pPr>
        <w:pStyle w:val="ListParagraph"/>
        <w:numPr>
          <w:ilvl w:val="0"/>
          <w:numId w:val="9"/>
        </w:numPr>
        <w:jc w:val="both"/>
        <w:rPr>
          <w:rFonts w:ascii="Arial" w:hAnsi="Arial"/>
          <w:sz w:val="20"/>
          <w:szCs w:val="20"/>
        </w:rPr>
      </w:pPr>
      <w:r w:rsidRPr="009B3D1D">
        <w:rPr>
          <w:rFonts w:ascii="Arial" w:hAnsi="Arial"/>
          <w:sz w:val="20"/>
          <w:szCs w:val="20"/>
        </w:rPr>
        <w:t>Epson</w:t>
      </w:r>
    </w:p>
    <w:p w14:paraId="51E68EB0" w14:textId="77777777" w:rsidR="009B3D1D" w:rsidRPr="009B3D1D" w:rsidRDefault="009B3D1D" w:rsidP="008818E0">
      <w:pPr>
        <w:pStyle w:val="ListParagraph"/>
        <w:numPr>
          <w:ilvl w:val="0"/>
          <w:numId w:val="9"/>
        </w:numPr>
        <w:jc w:val="both"/>
        <w:rPr>
          <w:rFonts w:ascii="Arial" w:hAnsi="Arial"/>
          <w:sz w:val="20"/>
          <w:szCs w:val="20"/>
        </w:rPr>
      </w:pPr>
      <w:r w:rsidRPr="009B3D1D">
        <w:rPr>
          <w:rFonts w:ascii="Arial" w:hAnsi="Arial"/>
          <w:sz w:val="20"/>
          <w:szCs w:val="20"/>
        </w:rPr>
        <w:t xml:space="preserve">HP </w:t>
      </w:r>
    </w:p>
    <w:p w14:paraId="14FCC750" w14:textId="77777777" w:rsidR="009B3D1D" w:rsidRPr="009B3D1D" w:rsidRDefault="009B3D1D" w:rsidP="008818E0">
      <w:pPr>
        <w:pStyle w:val="ListParagraph"/>
        <w:numPr>
          <w:ilvl w:val="0"/>
          <w:numId w:val="9"/>
        </w:numPr>
        <w:jc w:val="both"/>
        <w:rPr>
          <w:rFonts w:ascii="Arial" w:hAnsi="Arial"/>
          <w:sz w:val="20"/>
          <w:szCs w:val="20"/>
        </w:rPr>
      </w:pPr>
      <w:r w:rsidRPr="009B3D1D">
        <w:rPr>
          <w:rFonts w:ascii="Arial" w:hAnsi="Arial"/>
          <w:sz w:val="20"/>
          <w:szCs w:val="20"/>
        </w:rPr>
        <w:t>Konica Minolta Business Solutions Europe GmbH</w:t>
      </w:r>
    </w:p>
    <w:p w14:paraId="40770594" w14:textId="69FFBC27" w:rsidR="009B3D1D" w:rsidRPr="009B3D1D" w:rsidRDefault="009B3D1D" w:rsidP="008818E0">
      <w:pPr>
        <w:pStyle w:val="ListParagraph"/>
        <w:numPr>
          <w:ilvl w:val="0"/>
          <w:numId w:val="9"/>
        </w:numPr>
        <w:jc w:val="both"/>
        <w:rPr>
          <w:rFonts w:ascii="Arial" w:hAnsi="Arial"/>
          <w:sz w:val="20"/>
          <w:szCs w:val="20"/>
        </w:rPr>
      </w:pPr>
      <w:r w:rsidRPr="009B3D1D">
        <w:rPr>
          <w:rFonts w:ascii="Arial" w:hAnsi="Arial"/>
          <w:sz w:val="20"/>
          <w:szCs w:val="20"/>
        </w:rPr>
        <w:t xml:space="preserve">Kyocera </w:t>
      </w:r>
      <w:r w:rsidR="00C83A63">
        <w:rPr>
          <w:rFonts w:ascii="Arial" w:hAnsi="Arial"/>
          <w:sz w:val="20"/>
          <w:szCs w:val="20"/>
        </w:rPr>
        <w:t>Document Solutions</w:t>
      </w:r>
    </w:p>
    <w:p w14:paraId="311DDD7A" w14:textId="77777777" w:rsidR="009B3D1D" w:rsidRPr="009B3D1D" w:rsidRDefault="009B3D1D" w:rsidP="008818E0">
      <w:pPr>
        <w:pStyle w:val="ListParagraph"/>
        <w:numPr>
          <w:ilvl w:val="0"/>
          <w:numId w:val="9"/>
        </w:numPr>
        <w:jc w:val="both"/>
        <w:rPr>
          <w:rFonts w:ascii="Arial" w:hAnsi="Arial"/>
          <w:sz w:val="20"/>
          <w:szCs w:val="20"/>
        </w:rPr>
      </w:pPr>
      <w:r w:rsidRPr="009B3D1D">
        <w:rPr>
          <w:rFonts w:ascii="Arial" w:hAnsi="Arial"/>
          <w:sz w:val="20"/>
          <w:szCs w:val="20"/>
        </w:rPr>
        <w:t xml:space="preserve">Lexmark International </w:t>
      </w:r>
      <w:proofErr w:type="spellStart"/>
      <w:r w:rsidRPr="009B3D1D">
        <w:rPr>
          <w:rFonts w:ascii="Arial" w:hAnsi="Arial"/>
          <w:sz w:val="20"/>
          <w:szCs w:val="20"/>
        </w:rPr>
        <w:t>nv</w:t>
      </w:r>
      <w:proofErr w:type="spellEnd"/>
      <w:r w:rsidRPr="009B3D1D">
        <w:rPr>
          <w:rFonts w:ascii="Arial" w:hAnsi="Arial"/>
          <w:sz w:val="20"/>
          <w:szCs w:val="20"/>
        </w:rPr>
        <w:t>/</w:t>
      </w:r>
      <w:proofErr w:type="spellStart"/>
      <w:r w:rsidRPr="009B3D1D">
        <w:rPr>
          <w:rFonts w:ascii="Arial" w:hAnsi="Arial"/>
          <w:sz w:val="20"/>
          <w:szCs w:val="20"/>
        </w:rPr>
        <w:t>sa</w:t>
      </w:r>
      <w:proofErr w:type="spellEnd"/>
    </w:p>
    <w:p w14:paraId="61C65B93" w14:textId="77777777" w:rsidR="009B3D1D" w:rsidRPr="009B3D1D" w:rsidRDefault="009B3D1D" w:rsidP="008818E0">
      <w:pPr>
        <w:pStyle w:val="ListParagraph"/>
        <w:numPr>
          <w:ilvl w:val="0"/>
          <w:numId w:val="9"/>
        </w:numPr>
        <w:jc w:val="both"/>
        <w:rPr>
          <w:rFonts w:ascii="Arial" w:hAnsi="Arial"/>
          <w:sz w:val="20"/>
          <w:szCs w:val="20"/>
        </w:rPr>
      </w:pPr>
      <w:r w:rsidRPr="009B3D1D">
        <w:rPr>
          <w:rFonts w:ascii="Arial" w:hAnsi="Arial"/>
          <w:sz w:val="20"/>
          <w:szCs w:val="20"/>
        </w:rPr>
        <w:t xml:space="preserve">Murata Machinery Europe GmbH </w:t>
      </w:r>
    </w:p>
    <w:p w14:paraId="11B3F078" w14:textId="77777777" w:rsidR="009B3D1D" w:rsidRPr="009B3D1D" w:rsidRDefault="009B3D1D" w:rsidP="008818E0">
      <w:pPr>
        <w:pStyle w:val="ListParagraph"/>
        <w:numPr>
          <w:ilvl w:val="0"/>
          <w:numId w:val="9"/>
        </w:numPr>
        <w:jc w:val="both"/>
        <w:rPr>
          <w:rFonts w:ascii="Arial" w:hAnsi="Arial"/>
          <w:sz w:val="20"/>
          <w:szCs w:val="20"/>
        </w:rPr>
      </w:pPr>
      <w:r w:rsidRPr="009B3D1D">
        <w:rPr>
          <w:rFonts w:ascii="Arial" w:hAnsi="Arial"/>
          <w:sz w:val="20"/>
          <w:szCs w:val="20"/>
        </w:rPr>
        <w:t xml:space="preserve">OKI (UK) Ltd. </w:t>
      </w:r>
    </w:p>
    <w:p w14:paraId="3F1CEBCF" w14:textId="77777777" w:rsidR="009B3D1D" w:rsidRPr="009B3D1D" w:rsidRDefault="009B3D1D" w:rsidP="008818E0">
      <w:pPr>
        <w:pStyle w:val="ListParagraph"/>
        <w:numPr>
          <w:ilvl w:val="0"/>
          <w:numId w:val="9"/>
        </w:numPr>
        <w:jc w:val="both"/>
        <w:rPr>
          <w:rFonts w:ascii="Arial" w:hAnsi="Arial"/>
          <w:sz w:val="20"/>
          <w:szCs w:val="20"/>
        </w:rPr>
      </w:pPr>
      <w:r w:rsidRPr="009B3D1D">
        <w:rPr>
          <w:rFonts w:ascii="Arial" w:hAnsi="Arial"/>
          <w:sz w:val="20"/>
          <w:szCs w:val="20"/>
        </w:rPr>
        <w:t>Panasonic Europe Ltd.</w:t>
      </w:r>
    </w:p>
    <w:p w14:paraId="538F313A" w14:textId="77777777" w:rsidR="009B3D1D" w:rsidRPr="009B3D1D" w:rsidRDefault="009B3D1D" w:rsidP="008818E0">
      <w:pPr>
        <w:pStyle w:val="ListParagraph"/>
        <w:numPr>
          <w:ilvl w:val="0"/>
          <w:numId w:val="9"/>
        </w:numPr>
        <w:jc w:val="both"/>
        <w:rPr>
          <w:rFonts w:ascii="Arial" w:hAnsi="Arial"/>
          <w:sz w:val="20"/>
          <w:szCs w:val="20"/>
        </w:rPr>
      </w:pPr>
      <w:r w:rsidRPr="009B3D1D">
        <w:rPr>
          <w:rFonts w:ascii="Arial" w:hAnsi="Arial"/>
          <w:sz w:val="20"/>
          <w:szCs w:val="20"/>
        </w:rPr>
        <w:t xml:space="preserve">Ricoh Europe PLC </w:t>
      </w:r>
    </w:p>
    <w:p w14:paraId="37604D6C" w14:textId="77777777" w:rsidR="009B3D1D" w:rsidRPr="009B3D1D" w:rsidRDefault="009B3D1D" w:rsidP="008818E0">
      <w:pPr>
        <w:pStyle w:val="ListParagraph"/>
        <w:numPr>
          <w:ilvl w:val="0"/>
          <w:numId w:val="9"/>
        </w:numPr>
        <w:jc w:val="both"/>
        <w:rPr>
          <w:rFonts w:ascii="Arial" w:hAnsi="Arial"/>
          <w:sz w:val="20"/>
          <w:szCs w:val="20"/>
        </w:rPr>
      </w:pPr>
      <w:r w:rsidRPr="009B3D1D">
        <w:rPr>
          <w:rFonts w:ascii="Arial" w:hAnsi="Arial"/>
          <w:sz w:val="20"/>
          <w:szCs w:val="20"/>
        </w:rPr>
        <w:t xml:space="preserve">Samsung Electronics Europe </w:t>
      </w:r>
    </w:p>
    <w:p w14:paraId="0486E96D" w14:textId="77777777" w:rsidR="009B3D1D" w:rsidRPr="009B3D1D" w:rsidRDefault="009B3D1D" w:rsidP="008818E0">
      <w:pPr>
        <w:pStyle w:val="ListParagraph"/>
        <w:numPr>
          <w:ilvl w:val="0"/>
          <w:numId w:val="9"/>
        </w:numPr>
        <w:jc w:val="both"/>
        <w:rPr>
          <w:rFonts w:ascii="Arial" w:hAnsi="Arial"/>
          <w:sz w:val="20"/>
          <w:szCs w:val="20"/>
        </w:rPr>
      </w:pPr>
      <w:r w:rsidRPr="009B3D1D">
        <w:rPr>
          <w:rFonts w:ascii="Arial" w:hAnsi="Arial"/>
          <w:sz w:val="20"/>
          <w:szCs w:val="20"/>
        </w:rPr>
        <w:t xml:space="preserve">Sharp Electronics GmbH </w:t>
      </w:r>
    </w:p>
    <w:p w14:paraId="46B5AF1F" w14:textId="77777777" w:rsidR="009B3D1D" w:rsidRPr="009B3D1D" w:rsidRDefault="009B3D1D" w:rsidP="008818E0">
      <w:pPr>
        <w:pStyle w:val="ListParagraph"/>
        <w:numPr>
          <w:ilvl w:val="0"/>
          <w:numId w:val="9"/>
        </w:numPr>
        <w:jc w:val="both"/>
        <w:rPr>
          <w:rFonts w:ascii="Arial" w:hAnsi="Arial" w:cs="Arial"/>
          <w:sz w:val="20"/>
          <w:szCs w:val="20"/>
        </w:rPr>
      </w:pPr>
      <w:r w:rsidRPr="009B3D1D">
        <w:rPr>
          <w:rFonts w:ascii="Arial" w:hAnsi="Arial"/>
          <w:sz w:val="20"/>
          <w:szCs w:val="20"/>
        </w:rPr>
        <w:t>Toshiba TEC Germany Imaging Systems GmbH</w:t>
      </w:r>
      <w:r w:rsidRPr="009B3D1D">
        <w:rPr>
          <w:rFonts w:ascii="Arial" w:hAnsi="Arial"/>
          <w:sz w:val="20"/>
          <w:szCs w:val="20"/>
        </w:rPr>
        <w:tab/>
      </w:r>
    </w:p>
    <w:p w14:paraId="430C1EC4" w14:textId="77777777" w:rsidR="009B3D1D" w:rsidRPr="009B3D1D" w:rsidRDefault="009B3D1D" w:rsidP="008818E0">
      <w:pPr>
        <w:pStyle w:val="ListParagraph"/>
        <w:numPr>
          <w:ilvl w:val="0"/>
          <w:numId w:val="9"/>
        </w:numPr>
        <w:jc w:val="both"/>
        <w:rPr>
          <w:rFonts w:ascii="Arial" w:hAnsi="Arial"/>
          <w:sz w:val="20"/>
          <w:szCs w:val="20"/>
        </w:rPr>
      </w:pPr>
      <w:r w:rsidRPr="009B3D1D">
        <w:rPr>
          <w:rFonts w:ascii="Arial" w:hAnsi="Arial"/>
          <w:sz w:val="20"/>
          <w:szCs w:val="20"/>
        </w:rPr>
        <w:t>Xerox</w:t>
      </w:r>
      <w:r w:rsidRPr="009B3D1D">
        <w:rPr>
          <w:rFonts w:ascii="Arial" w:hAnsi="Arial"/>
          <w:sz w:val="20"/>
          <w:szCs w:val="20"/>
        </w:rPr>
        <w:tab/>
      </w:r>
    </w:p>
    <w:p w14:paraId="43050B43" w14:textId="09B36C92" w:rsidR="00285637" w:rsidRDefault="00285637" w:rsidP="008818E0">
      <w:pPr>
        <w:jc w:val="both"/>
      </w:pPr>
      <w:r>
        <w:br w:type="page"/>
      </w:r>
    </w:p>
    <w:p w14:paraId="338DDCD0" w14:textId="77777777" w:rsidR="001B2873" w:rsidRDefault="00C86D93" w:rsidP="008818E0">
      <w:pPr>
        <w:pStyle w:val="Heading1"/>
        <w:spacing w:before="0" w:after="0"/>
        <w:contextualSpacing/>
        <w:jc w:val="both"/>
      </w:pPr>
      <w:bookmarkStart w:id="4" w:name="_Toc375572488"/>
      <w:r w:rsidRPr="00CD5A46">
        <w:lastRenderedPageBreak/>
        <w:t>Objectives</w:t>
      </w:r>
      <w:bookmarkEnd w:id="4"/>
    </w:p>
    <w:p w14:paraId="2258B3B9" w14:textId="77777777" w:rsidR="00285637" w:rsidRPr="00285637" w:rsidRDefault="00285637" w:rsidP="008818E0">
      <w:pPr>
        <w:jc w:val="both"/>
      </w:pPr>
    </w:p>
    <w:p w14:paraId="645CD860" w14:textId="052A201F" w:rsidR="00514EAD" w:rsidRDefault="00514EAD" w:rsidP="008818E0">
      <w:pPr>
        <w:pStyle w:val="Heading2"/>
        <w:spacing w:before="0" w:after="0"/>
        <w:contextualSpacing/>
        <w:jc w:val="both"/>
        <w:rPr>
          <w:rStyle w:val="Emphasis"/>
          <w:i w:val="0"/>
        </w:rPr>
      </w:pPr>
      <w:bookmarkStart w:id="5" w:name="_Toc375308082"/>
      <w:bookmarkStart w:id="6" w:name="_Toc375572489"/>
      <w:r w:rsidRPr="00514EAD">
        <w:t xml:space="preserve">Contribute to the objectives of Directive 2009/125/EC establishing a framework for the setting of </w:t>
      </w:r>
      <w:proofErr w:type="spellStart"/>
      <w:r w:rsidRPr="00514EAD">
        <w:t>ecodesign</w:t>
      </w:r>
      <w:proofErr w:type="spellEnd"/>
      <w:r w:rsidRPr="00514EAD">
        <w:t xml:space="preserve"> requirements for energy-related products, in line with Recitals 18-21 Article 17 and Annex VIII on self-regulation measures.</w:t>
      </w:r>
      <w:bookmarkEnd w:id="5"/>
      <w:bookmarkEnd w:id="6"/>
    </w:p>
    <w:p w14:paraId="3C1F0301" w14:textId="77777777" w:rsidR="00285637" w:rsidRPr="00285637" w:rsidRDefault="00285637" w:rsidP="008818E0">
      <w:pPr>
        <w:jc w:val="both"/>
      </w:pPr>
    </w:p>
    <w:p w14:paraId="58E5B949" w14:textId="58B9AB12" w:rsidR="00514EAD" w:rsidRDefault="00514EAD" w:rsidP="008818E0">
      <w:pPr>
        <w:pStyle w:val="Heading2"/>
        <w:spacing w:before="0" w:after="0"/>
        <w:contextualSpacing/>
        <w:jc w:val="both"/>
        <w:rPr>
          <w:rStyle w:val="Emphasis"/>
          <w:i w:val="0"/>
        </w:rPr>
      </w:pPr>
      <w:bookmarkStart w:id="7" w:name="_Toc375308083"/>
      <w:bookmarkStart w:id="8" w:name="_Toc375572490"/>
      <w:r w:rsidRPr="00514EAD">
        <w:t>C</w:t>
      </w:r>
      <w:r w:rsidR="007E1AE0" w:rsidRPr="00514EAD">
        <w:t xml:space="preserve">ontinuously </w:t>
      </w:r>
      <w:r w:rsidRPr="00514EAD">
        <w:rPr>
          <w:rStyle w:val="Emphasis"/>
          <w:i w:val="0"/>
        </w:rPr>
        <w:t xml:space="preserve">improve the environmental performance of </w:t>
      </w:r>
      <w:r w:rsidRPr="00514EAD">
        <w:t xml:space="preserve">the types of </w:t>
      </w:r>
      <w:r w:rsidRPr="00514EAD">
        <w:rPr>
          <w:rStyle w:val="Emphasis"/>
          <w:i w:val="0"/>
        </w:rPr>
        <w:t>imaging equipment</w:t>
      </w:r>
      <w:r w:rsidRPr="00514EAD">
        <w:t xml:space="preserve"> in scope of this agreement</w:t>
      </w:r>
      <w:r w:rsidR="0066475F">
        <w:t>.</w:t>
      </w:r>
      <w:bookmarkEnd w:id="7"/>
      <w:bookmarkEnd w:id="8"/>
    </w:p>
    <w:p w14:paraId="65E4AD8D" w14:textId="77777777" w:rsidR="00285637" w:rsidRPr="00285637" w:rsidRDefault="00285637" w:rsidP="008818E0">
      <w:pPr>
        <w:jc w:val="both"/>
      </w:pPr>
    </w:p>
    <w:p w14:paraId="0001FA45" w14:textId="77777777" w:rsidR="00514EAD" w:rsidRDefault="00514EAD" w:rsidP="008818E0">
      <w:pPr>
        <w:pStyle w:val="Heading2"/>
        <w:spacing w:before="0" w:after="0"/>
        <w:contextualSpacing/>
        <w:jc w:val="both"/>
        <w:rPr>
          <w:rStyle w:val="Emphasis"/>
          <w:i w:val="0"/>
        </w:rPr>
      </w:pPr>
      <w:bookmarkStart w:id="9" w:name="_Toc375308084"/>
      <w:bookmarkStart w:id="10" w:name="_Toc375572491"/>
      <w:r w:rsidRPr="00514EAD">
        <w:rPr>
          <w:rStyle w:val="Emphasis"/>
          <w:i w:val="0"/>
        </w:rPr>
        <w:t xml:space="preserve">Educate users, </w:t>
      </w:r>
      <w:r w:rsidRPr="0066475F">
        <w:rPr>
          <w:rStyle w:val="Emphasis"/>
          <w:i w:val="0"/>
          <w:highlight w:val="yellow"/>
        </w:rPr>
        <w:t>in particular end-users</w:t>
      </w:r>
      <w:r w:rsidRPr="00514EAD">
        <w:rPr>
          <w:rStyle w:val="Emphasis"/>
          <w:i w:val="0"/>
        </w:rPr>
        <w:t>, on best practices for environmental printing</w:t>
      </w:r>
      <w:r w:rsidR="0066475F">
        <w:rPr>
          <w:rStyle w:val="Emphasis"/>
          <w:i w:val="0"/>
        </w:rPr>
        <w:t>.</w:t>
      </w:r>
      <w:bookmarkEnd w:id="9"/>
      <w:bookmarkEnd w:id="10"/>
    </w:p>
    <w:p w14:paraId="10E2D62A" w14:textId="77777777" w:rsidR="00285637" w:rsidRPr="00285637" w:rsidRDefault="00285637" w:rsidP="008818E0">
      <w:pPr>
        <w:jc w:val="both"/>
      </w:pPr>
    </w:p>
    <w:p w14:paraId="66EAC6E3" w14:textId="77777777" w:rsidR="00514EAD" w:rsidRDefault="00514EAD" w:rsidP="008818E0">
      <w:pPr>
        <w:pStyle w:val="Heading2"/>
        <w:spacing w:before="0" w:after="0"/>
        <w:contextualSpacing/>
        <w:jc w:val="both"/>
        <w:rPr>
          <w:rStyle w:val="Emphasis"/>
          <w:i w:val="0"/>
          <w:highlight w:val="yellow"/>
        </w:rPr>
      </w:pPr>
      <w:bookmarkStart w:id="11" w:name="_Toc375308085"/>
      <w:bookmarkStart w:id="12" w:name="_Toc375572492"/>
      <w:r w:rsidRPr="0066475F">
        <w:rPr>
          <w:rStyle w:val="Emphasis"/>
          <w:i w:val="0"/>
          <w:highlight w:val="yellow"/>
        </w:rPr>
        <w:t>Promote and secure better energy efficiency for household and office imaging equipment</w:t>
      </w:r>
      <w:r w:rsidR="0066475F" w:rsidRPr="0066475F">
        <w:rPr>
          <w:rStyle w:val="Emphasis"/>
          <w:i w:val="0"/>
          <w:highlight w:val="yellow"/>
        </w:rPr>
        <w:t>.</w:t>
      </w:r>
      <w:bookmarkEnd w:id="11"/>
      <w:bookmarkEnd w:id="12"/>
    </w:p>
    <w:p w14:paraId="693EB7DC" w14:textId="77777777" w:rsidR="00285637" w:rsidRPr="00285637" w:rsidRDefault="00285637" w:rsidP="008818E0">
      <w:pPr>
        <w:jc w:val="both"/>
        <w:rPr>
          <w:highlight w:val="yellow"/>
        </w:rPr>
      </w:pPr>
    </w:p>
    <w:p w14:paraId="57DCD78B" w14:textId="77777777" w:rsidR="007E1AE0" w:rsidRDefault="007E1AE0" w:rsidP="008818E0">
      <w:pPr>
        <w:pStyle w:val="Heading2"/>
        <w:spacing w:before="0" w:after="0"/>
        <w:contextualSpacing/>
        <w:jc w:val="both"/>
      </w:pPr>
      <w:bookmarkStart w:id="13" w:name="_Toc375308086"/>
      <w:bookmarkStart w:id="14" w:name="_Toc375572493"/>
      <w:r w:rsidRPr="00514EAD">
        <w:t>E</w:t>
      </w:r>
      <w:r w:rsidR="00574FFE" w:rsidRPr="00514EAD">
        <w:t>nsure</w:t>
      </w:r>
      <w:r w:rsidR="00B266C1" w:rsidRPr="00514EAD">
        <w:t xml:space="preserve"> the</w:t>
      </w:r>
      <w:r w:rsidR="00574FFE" w:rsidRPr="00514EAD">
        <w:t xml:space="preserve"> involvement of</w:t>
      </w:r>
      <w:r w:rsidRPr="00514EAD">
        <w:t xml:space="preserve"> all stakeholders</w:t>
      </w:r>
      <w:r w:rsidR="006514EB" w:rsidRPr="00514EAD">
        <w:t xml:space="preserve"> represented in the C</w:t>
      </w:r>
      <w:r w:rsidR="005815DB" w:rsidRPr="00514EAD">
        <w:t xml:space="preserve">onsultation </w:t>
      </w:r>
      <w:r w:rsidR="006514EB" w:rsidRPr="00514EAD">
        <w:t>F</w:t>
      </w:r>
      <w:r w:rsidR="005815DB" w:rsidRPr="00514EAD">
        <w:t>orum</w:t>
      </w:r>
      <w:r w:rsidRPr="00514EAD">
        <w:t xml:space="preserve"> </w:t>
      </w:r>
      <w:r w:rsidR="00574FFE" w:rsidRPr="00514EAD">
        <w:t xml:space="preserve">in monitoring of the results and updating the requirements of the </w:t>
      </w:r>
      <w:r w:rsidR="00B17371" w:rsidRPr="00514EAD">
        <w:t>V</w:t>
      </w:r>
      <w:r w:rsidR="00574FFE" w:rsidRPr="00514EAD">
        <w:t xml:space="preserve">oluntary </w:t>
      </w:r>
      <w:r w:rsidR="00B17371" w:rsidRPr="00514EAD">
        <w:t>A</w:t>
      </w:r>
      <w:r w:rsidR="00574FFE" w:rsidRPr="00514EAD">
        <w:t>greement</w:t>
      </w:r>
      <w:r w:rsidR="001449E1" w:rsidRPr="00514EAD">
        <w:t>.</w:t>
      </w:r>
      <w:bookmarkEnd w:id="13"/>
      <w:bookmarkEnd w:id="14"/>
    </w:p>
    <w:p w14:paraId="26207260" w14:textId="77777777" w:rsidR="00285637" w:rsidRPr="00285637" w:rsidRDefault="00285637" w:rsidP="008818E0">
      <w:pPr>
        <w:jc w:val="both"/>
      </w:pPr>
    </w:p>
    <w:p w14:paraId="5BE76C99" w14:textId="77777777" w:rsidR="00285637" w:rsidRPr="00285637" w:rsidRDefault="00285637" w:rsidP="008818E0">
      <w:pPr>
        <w:jc w:val="both"/>
      </w:pPr>
    </w:p>
    <w:p w14:paraId="38FDAD50" w14:textId="3F83C94D" w:rsidR="00F8024B" w:rsidRPr="00DA3499" w:rsidRDefault="00F00A2D" w:rsidP="00DA3499">
      <w:pPr>
        <w:pStyle w:val="Heading1"/>
      </w:pPr>
      <w:bookmarkStart w:id="15" w:name="_Ref254011080"/>
      <w:bookmarkStart w:id="16" w:name="_Ref254011090"/>
      <w:bookmarkStart w:id="17" w:name="_Ref254011102"/>
      <w:bookmarkStart w:id="18" w:name="_Ref254011109"/>
      <w:bookmarkStart w:id="19" w:name="_Toc209606071"/>
      <w:bookmarkStart w:id="20" w:name="_Toc375308087"/>
      <w:bookmarkStart w:id="21" w:name="_Toc375572494"/>
      <w:r w:rsidRPr="00DA3499">
        <w:t>Scope</w:t>
      </w:r>
      <w:bookmarkEnd w:id="15"/>
      <w:bookmarkEnd w:id="16"/>
      <w:bookmarkEnd w:id="17"/>
      <w:bookmarkEnd w:id="18"/>
      <w:bookmarkEnd w:id="19"/>
      <w:bookmarkEnd w:id="20"/>
      <w:bookmarkEnd w:id="21"/>
    </w:p>
    <w:p w14:paraId="583E0A50" w14:textId="77777777" w:rsidR="00285637" w:rsidRPr="00285637" w:rsidRDefault="00285637" w:rsidP="008818E0">
      <w:pPr>
        <w:jc w:val="both"/>
      </w:pPr>
    </w:p>
    <w:p w14:paraId="76EEA33C" w14:textId="77777777" w:rsidR="00C1149A" w:rsidRDefault="00C1149A" w:rsidP="008818E0">
      <w:pPr>
        <w:pStyle w:val="Heading2"/>
        <w:spacing w:before="0" w:after="0"/>
        <w:contextualSpacing/>
        <w:jc w:val="both"/>
        <w:rPr>
          <w:b/>
          <w:highlight w:val="yellow"/>
        </w:rPr>
      </w:pPr>
      <w:bookmarkStart w:id="22" w:name="_Toc375308088"/>
      <w:bookmarkStart w:id="23" w:name="_Toc375572495"/>
      <w:bookmarkStart w:id="24" w:name="_Ref250968473"/>
      <w:bookmarkStart w:id="25" w:name="OLE_LINK3"/>
      <w:bookmarkStart w:id="26" w:name="OLE_LINK4"/>
      <w:r w:rsidRPr="00C1149A">
        <w:rPr>
          <w:b/>
          <w:highlight w:val="yellow"/>
        </w:rPr>
        <w:t>Core definitions</w:t>
      </w:r>
      <w:bookmarkEnd w:id="22"/>
      <w:bookmarkEnd w:id="23"/>
    </w:p>
    <w:p w14:paraId="04A6F557" w14:textId="77777777" w:rsidR="00783AC8" w:rsidRPr="00783AC8" w:rsidRDefault="00783AC8" w:rsidP="00783AC8">
      <w:pPr>
        <w:rPr>
          <w:highlight w:val="yellow"/>
        </w:rPr>
      </w:pPr>
    </w:p>
    <w:p w14:paraId="73A1A640" w14:textId="77777777" w:rsidR="008A4625" w:rsidRDefault="006C70E4" w:rsidP="00983BFF">
      <w:pPr>
        <w:pStyle w:val="Heading3"/>
        <w:tabs>
          <w:tab w:val="clear" w:pos="1800"/>
          <w:tab w:val="clear" w:pos="1855"/>
          <w:tab w:val="left" w:pos="1843"/>
        </w:tabs>
        <w:spacing w:before="0" w:after="0"/>
        <w:contextualSpacing/>
        <w:jc w:val="both"/>
      </w:pPr>
      <w:bookmarkStart w:id="27" w:name="_Toc375308089"/>
      <w:bookmarkStart w:id="28" w:name="_Toc375572496"/>
      <w:r w:rsidRPr="009B5C2C">
        <w:t>A</w:t>
      </w:r>
      <w:r w:rsidR="006940BC" w:rsidRPr="009021D1">
        <w:t xml:space="preserve">ll terms used in </w:t>
      </w:r>
      <w:r w:rsidR="00B266C1" w:rsidRPr="009021D1">
        <w:t>this section</w:t>
      </w:r>
      <w:r w:rsidR="006940BC" w:rsidRPr="009021D1">
        <w:t xml:space="preserve"> are defined in </w:t>
      </w:r>
      <w:r w:rsidR="00875DB1" w:rsidRPr="008A4625">
        <w:rPr>
          <w:highlight w:val="yellow"/>
        </w:rPr>
        <w:t xml:space="preserve">Annex C of the Agreement </w:t>
      </w:r>
      <w:r w:rsidR="008E725D" w:rsidRPr="008A4625">
        <w:rPr>
          <w:highlight w:val="yellow"/>
          <w:lang w:eastAsia="en-US"/>
        </w:rPr>
        <w:t xml:space="preserve">between the Government of the United States of America and the European Union on the coordination of energy-efficiency </w:t>
      </w:r>
      <w:r w:rsidR="009349B9" w:rsidRPr="008A4625">
        <w:rPr>
          <w:highlight w:val="yellow"/>
          <w:lang w:eastAsia="en-US"/>
        </w:rPr>
        <w:t>labe</w:t>
      </w:r>
      <w:r w:rsidR="00F830AB" w:rsidRPr="008A4625">
        <w:rPr>
          <w:highlight w:val="yellow"/>
          <w:lang w:eastAsia="en-US"/>
        </w:rPr>
        <w:t>l</w:t>
      </w:r>
      <w:r w:rsidR="009349B9" w:rsidRPr="008A4625">
        <w:rPr>
          <w:highlight w:val="yellow"/>
          <w:lang w:eastAsia="en-US"/>
        </w:rPr>
        <w:t>ling</w:t>
      </w:r>
      <w:r w:rsidR="008E725D" w:rsidRPr="008A4625">
        <w:rPr>
          <w:highlight w:val="yellow"/>
          <w:lang w:eastAsia="en-US"/>
        </w:rPr>
        <w:t xml:space="preserve"> programs for office equipment </w:t>
      </w:r>
      <w:r w:rsidR="009B5C2C" w:rsidRPr="008A4625">
        <w:rPr>
          <w:highlight w:val="yellow"/>
          <w:lang w:eastAsia="en-US"/>
        </w:rPr>
        <w:t xml:space="preserve">- </w:t>
      </w:r>
      <w:r w:rsidR="008E725D" w:rsidRPr="008A4625">
        <w:rPr>
          <w:highlight w:val="yellow"/>
          <w:lang w:eastAsia="en-US"/>
        </w:rPr>
        <w:t xml:space="preserve">the EU-US </w:t>
      </w:r>
      <w:r w:rsidR="009B5C2C" w:rsidRPr="008A4625">
        <w:rPr>
          <w:highlight w:val="yellow"/>
          <w:lang w:eastAsia="en-US"/>
        </w:rPr>
        <w:t xml:space="preserve">Agreement on </w:t>
      </w:r>
      <w:r w:rsidR="008E725D" w:rsidRPr="008A4625">
        <w:rPr>
          <w:highlight w:val="yellow"/>
          <w:lang w:eastAsia="en-US"/>
        </w:rPr>
        <w:t>ENERGY STAR®</w:t>
      </w:r>
      <w:r w:rsidR="009B5C2C" w:rsidRPr="00C5565B">
        <w:rPr>
          <w:rStyle w:val="FootnoteReference"/>
          <w:highlight w:val="yellow"/>
        </w:rPr>
        <w:footnoteReference w:id="4"/>
      </w:r>
      <w:r w:rsidR="009B5C2C" w:rsidRPr="008A4625">
        <w:rPr>
          <w:highlight w:val="yellow"/>
        </w:rPr>
        <w:t>.</w:t>
      </w:r>
      <w:bookmarkStart w:id="29" w:name="_Toc375308090"/>
      <w:bookmarkEnd w:id="24"/>
      <w:bookmarkEnd w:id="25"/>
      <w:bookmarkEnd w:id="26"/>
      <w:bookmarkEnd w:id="27"/>
      <w:bookmarkEnd w:id="28"/>
    </w:p>
    <w:p w14:paraId="52DD2683" w14:textId="77777777" w:rsidR="008A4625" w:rsidRPr="008A4625" w:rsidRDefault="008A4625" w:rsidP="008A4625"/>
    <w:p w14:paraId="7C40592C" w14:textId="77777777" w:rsidR="008A4625" w:rsidRDefault="00BA63CB" w:rsidP="00983BFF">
      <w:pPr>
        <w:pStyle w:val="Heading3"/>
        <w:tabs>
          <w:tab w:val="clear" w:pos="1800"/>
          <w:tab w:val="clear" w:pos="1855"/>
          <w:tab w:val="left" w:pos="1843"/>
        </w:tabs>
        <w:spacing w:before="0" w:after="0"/>
        <w:contextualSpacing/>
        <w:jc w:val="both"/>
      </w:pPr>
      <w:bookmarkStart w:id="30" w:name="_Toc375572497"/>
      <w:r w:rsidRPr="00CD5A46">
        <w:t xml:space="preserve">For the purposes of this </w:t>
      </w:r>
      <w:r w:rsidR="00B1179F" w:rsidRPr="00CD5A46">
        <w:t xml:space="preserve">Voluntary </w:t>
      </w:r>
      <w:r w:rsidRPr="00CD5A46">
        <w:t>Agreement, “products”</w:t>
      </w:r>
      <w:r w:rsidR="003B251D" w:rsidRPr="00CD5A46">
        <w:t xml:space="preserve"> are understood as im</w:t>
      </w:r>
      <w:r w:rsidRPr="00CD5A46">
        <w:t>aging equipment meeting the conditions in section 3.3.</w:t>
      </w:r>
      <w:r w:rsidR="00593794" w:rsidRPr="00CD5A46">
        <w:t xml:space="preserve"> The terms “imaging equipment” and “product” do not include cartridges or other consumables</w:t>
      </w:r>
      <w:r w:rsidR="004040CD" w:rsidRPr="00CD5A46">
        <w:t>.</w:t>
      </w:r>
      <w:bookmarkEnd w:id="29"/>
      <w:bookmarkEnd w:id="30"/>
      <w:r w:rsidR="004C78E3" w:rsidRPr="004C78E3">
        <w:t xml:space="preserve"> </w:t>
      </w:r>
      <w:bookmarkStart w:id="31" w:name="_Toc375308091"/>
    </w:p>
    <w:p w14:paraId="45147717" w14:textId="77777777" w:rsidR="008A4625" w:rsidRPr="008A4625" w:rsidRDefault="008A4625" w:rsidP="008A4625"/>
    <w:p w14:paraId="444A10B7" w14:textId="4BA9F9B3" w:rsidR="00EA0EC6" w:rsidRDefault="004C78E3" w:rsidP="00983BFF">
      <w:pPr>
        <w:pStyle w:val="Heading3"/>
        <w:tabs>
          <w:tab w:val="clear" w:pos="1800"/>
          <w:tab w:val="clear" w:pos="1855"/>
          <w:tab w:val="left" w:pos="1843"/>
        </w:tabs>
        <w:spacing w:before="0" w:after="0"/>
        <w:contextualSpacing/>
        <w:jc w:val="both"/>
      </w:pPr>
      <w:bookmarkStart w:id="32" w:name="_Toc375572498"/>
      <w:r w:rsidRPr="008A4625">
        <w:rPr>
          <w:highlight w:val="yellow"/>
        </w:rPr>
        <w:t>“Cartridges” refers to cartridges produced by or recommended by the OEM</w:t>
      </w:r>
      <w:r w:rsidRPr="00C5565B">
        <w:rPr>
          <w:rStyle w:val="FootnoteReference"/>
          <w:highlight w:val="yellow"/>
        </w:rPr>
        <w:footnoteReference w:id="5"/>
      </w:r>
      <w:r w:rsidR="00AB002F" w:rsidRPr="008A4625">
        <w:rPr>
          <w:highlight w:val="yellow"/>
        </w:rPr>
        <w:t xml:space="preserve"> </w:t>
      </w:r>
      <w:r w:rsidRPr="008A4625">
        <w:rPr>
          <w:highlight w:val="yellow"/>
        </w:rPr>
        <w:t>for use in the products set out in 3.3.1.</w:t>
      </w:r>
      <w:bookmarkEnd w:id="31"/>
      <w:bookmarkEnd w:id="32"/>
    </w:p>
    <w:p w14:paraId="420B3357" w14:textId="77777777" w:rsidR="0089202B" w:rsidRPr="0089202B" w:rsidRDefault="0089202B" w:rsidP="008818E0">
      <w:pPr>
        <w:jc w:val="both"/>
      </w:pPr>
    </w:p>
    <w:p w14:paraId="687017D1" w14:textId="77777777" w:rsidR="00BA63CB" w:rsidRDefault="00637CC3" w:rsidP="008818E0">
      <w:pPr>
        <w:pStyle w:val="Heading2"/>
        <w:spacing w:before="0" w:after="0"/>
        <w:contextualSpacing/>
        <w:jc w:val="both"/>
        <w:rPr>
          <w:b/>
        </w:rPr>
      </w:pPr>
      <w:bookmarkStart w:id="33" w:name="_Toc375308092"/>
      <w:bookmarkStart w:id="34" w:name="_Toc375572499"/>
      <w:r w:rsidRPr="00C1149A">
        <w:rPr>
          <w:b/>
        </w:rPr>
        <w:t>Product s</w:t>
      </w:r>
      <w:r w:rsidR="00BA63CB" w:rsidRPr="00C1149A">
        <w:rPr>
          <w:b/>
        </w:rPr>
        <w:t>cope</w:t>
      </w:r>
      <w:bookmarkEnd w:id="33"/>
      <w:bookmarkEnd w:id="34"/>
    </w:p>
    <w:p w14:paraId="2F4E96E0" w14:textId="1173E19C" w:rsidR="00DF55EE" w:rsidRDefault="006940BC" w:rsidP="008818E0">
      <w:pPr>
        <w:pStyle w:val="Heading3"/>
        <w:jc w:val="both"/>
      </w:pPr>
      <w:bookmarkStart w:id="35" w:name="_Toc375308093"/>
      <w:bookmarkStart w:id="36" w:name="_Toc375572500"/>
      <w:r w:rsidRPr="00A23A54">
        <w:t>Product categories</w:t>
      </w:r>
      <w:bookmarkEnd w:id="35"/>
      <w:bookmarkEnd w:id="36"/>
      <w:r w:rsidRPr="00A23A54">
        <w:t xml:space="preserve"> </w:t>
      </w:r>
    </w:p>
    <w:p w14:paraId="0C7F2154" w14:textId="77777777" w:rsidR="0089202B" w:rsidRDefault="0089202B" w:rsidP="008818E0">
      <w:pPr>
        <w:pStyle w:val="Heading3"/>
        <w:numPr>
          <w:ilvl w:val="0"/>
          <w:numId w:val="0"/>
        </w:numPr>
        <w:tabs>
          <w:tab w:val="clear" w:pos="990"/>
          <w:tab w:val="clear" w:pos="1800"/>
        </w:tabs>
        <w:spacing w:before="0" w:after="0"/>
        <w:ind w:left="426"/>
        <w:contextualSpacing/>
        <w:jc w:val="both"/>
      </w:pPr>
      <w:bookmarkStart w:id="37" w:name="_Toc375308094"/>
    </w:p>
    <w:p w14:paraId="74FEE311" w14:textId="77777777" w:rsidR="006940BC" w:rsidRDefault="006C70E4" w:rsidP="008818E0">
      <w:pPr>
        <w:pStyle w:val="Heading3"/>
        <w:numPr>
          <w:ilvl w:val="0"/>
          <w:numId w:val="0"/>
        </w:numPr>
        <w:tabs>
          <w:tab w:val="clear" w:pos="990"/>
          <w:tab w:val="clear" w:pos="1800"/>
        </w:tabs>
        <w:spacing w:before="0" w:after="0"/>
        <w:ind w:left="426"/>
        <w:contextualSpacing/>
        <w:jc w:val="both"/>
      </w:pPr>
      <w:bookmarkStart w:id="38" w:name="_Toc375572501"/>
      <w:r w:rsidRPr="00CD5A46">
        <w:t>T</w:t>
      </w:r>
      <w:r w:rsidR="006940BC" w:rsidRPr="00CD5A46">
        <w:t xml:space="preserve">he Voluntary Agreement covers </w:t>
      </w:r>
      <w:r w:rsidR="000F4847" w:rsidRPr="00CD5A46">
        <w:t xml:space="preserve">imaging equipment belonging to one of </w:t>
      </w:r>
      <w:r w:rsidR="006940BC" w:rsidRPr="00CD5A46">
        <w:t>the following product categories</w:t>
      </w:r>
      <w:r w:rsidR="00BB011B" w:rsidRPr="00CD5A46">
        <w:t xml:space="preserve"> that have been reviewed in the</w:t>
      </w:r>
      <w:r w:rsidR="00141105" w:rsidRPr="00CD5A46">
        <w:t xml:space="preserve"> </w:t>
      </w:r>
      <w:proofErr w:type="spellStart"/>
      <w:r w:rsidR="00EB1250" w:rsidRPr="00CD5A46">
        <w:t>ErP</w:t>
      </w:r>
      <w:proofErr w:type="spellEnd"/>
      <w:r w:rsidR="00141105" w:rsidRPr="00CD5A46">
        <w:t xml:space="preserve"> Lot 4</w:t>
      </w:r>
      <w:r w:rsidR="00BB011B" w:rsidRPr="00CD5A46">
        <w:t xml:space="preserve"> preparatory study</w:t>
      </w:r>
      <w:r w:rsidR="006940BC" w:rsidRPr="00CD5A46">
        <w:t>:</w:t>
      </w:r>
      <w:bookmarkEnd w:id="37"/>
      <w:bookmarkEnd w:id="38"/>
      <w:r w:rsidR="006940BC" w:rsidRPr="00CD5A46">
        <w:t xml:space="preserve"> </w:t>
      </w:r>
    </w:p>
    <w:p w14:paraId="042E5635" w14:textId="77777777" w:rsidR="0089202B" w:rsidRPr="0089202B" w:rsidRDefault="0089202B" w:rsidP="008818E0">
      <w:pPr>
        <w:jc w:val="both"/>
      </w:pPr>
    </w:p>
    <w:p w14:paraId="7159FF41" w14:textId="77777777" w:rsidR="006940BC" w:rsidRPr="00CD5A46" w:rsidRDefault="006940BC" w:rsidP="008818E0">
      <w:pPr>
        <w:numPr>
          <w:ilvl w:val="0"/>
          <w:numId w:val="1"/>
        </w:numPr>
        <w:tabs>
          <w:tab w:val="num" w:pos="-1584"/>
          <w:tab w:val="left" w:pos="2160"/>
        </w:tabs>
        <w:contextualSpacing/>
        <w:jc w:val="both"/>
      </w:pPr>
      <w:r w:rsidRPr="00CD5A46">
        <w:t>Copiers</w:t>
      </w:r>
    </w:p>
    <w:p w14:paraId="24A25906" w14:textId="77777777" w:rsidR="006940BC" w:rsidRPr="00CD5A46" w:rsidRDefault="006940BC" w:rsidP="008818E0">
      <w:pPr>
        <w:numPr>
          <w:ilvl w:val="0"/>
          <w:numId w:val="1"/>
        </w:numPr>
        <w:tabs>
          <w:tab w:val="num" w:pos="-1584"/>
          <w:tab w:val="left" w:pos="2160"/>
        </w:tabs>
        <w:contextualSpacing/>
        <w:jc w:val="both"/>
      </w:pPr>
      <w:r w:rsidRPr="00CD5A46">
        <w:t>Multifunction Devices (MFDs)</w:t>
      </w:r>
    </w:p>
    <w:p w14:paraId="033E1120" w14:textId="77777777" w:rsidR="006940BC" w:rsidRPr="00CD5A46" w:rsidRDefault="006940BC" w:rsidP="008818E0">
      <w:pPr>
        <w:numPr>
          <w:ilvl w:val="0"/>
          <w:numId w:val="1"/>
        </w:numPr>
        <w:tabs>
          <w:tab w:val="num" w:pos="-1584"/>
          <w:tab w:val="left" w:pos="2160"/>
        </w:tabs>
        <w:contextualSpacing/>
        <w:jc w:val="both"/>
      </w:pPr>
      <w:r w:rsidRPr="00CD5A46">
        <w:t>Printers</w:t>
      </w:r>
    </w:p>
    <w:p w14:paraId="7F23B936" w14:textId="77777777" w:rsidR="006940BC" w:rsidRDefault="006940BC" w:rsidP="008818E0">
      <w:pPr>
        <w:numPr>
          <w:ilvl w:val="0"/>
          <w:numId w:val="1"/>
        </w:numPr>
        <w:tabs>
          <w:tab w:val="num" w:pos="-1584"/>
          <w:tab w:val="left" w:pos="2160"/>
        </w:tabs>
        <w:contextualSpacing/>
        <w:jc w:val="both"/>
      </w:pPr>
      <w:r w:rsidRPr="00CD5A46">
        <w:t>Fax</w:t>
      </w:r>
      <w:r w:rsidR="000F4847" w:rsidRPr="00CD5A46">
        <w:t xml:space="preserve"> machines</w:t>
      </w:r>
      <w:r w:rsidR="00B1179F" w:rsidRPr="00CD5A46">
        <w:t>.</w:t>
      </w:r>
    </w:p>
    <w:p w14:paraId="18853C7D" w14:textId="23DD9CED" w:rsidR="006D237D" w:rsidRDefault="006940BC" w:rsidP="008818E0">
      <w:pPr>
        <w:pStyle w:val="Heading3"/>
        <w:jc w:val="both"/>
      </w:pPr>
      <w:bookmarkStart w:id="39" w:name="_Toc375308095"/>
      <w:bookmarkStart w:id="40" w:name="_Toc375572502"/>
      <w:r w:rsidRPr="00A23A54">
        <w:t>Marking technologies</w:t>
      </w:r>
      <w:bookmarkEnd w:id="39"/>
      <w:bookmarkEnd w:id="40"/>
    </w:p>
    <w:p w14:paraId="21B7D11A" w14:textId="77777777" w:rsidR="0089202B" w:rsidRPr="0089202B" w:rsidRDefault="0089202B" w:rsidP="008818E0">
      <w:pPr>
        <w:jc w:val="both"/>
      </w:pPr>
    </w:p>
    <w:p w14:paraId="4A6E5928" w14:textId="77777777" w:rsidR="006940BC" w:rsidRPr="00CD5A46" w:rsidRDefault="000F4847" w:rsidP="008818E0">
      <w:pPr>
        <w:pStyle w:val="Heading3"/>
        <w:numPr>
          <w:ilvl w:val="0"/>
          <w:numId w:val="0"/>
        </w:numPr>
        <w:spacing w:before="0" w:after="0"/>
        <w:ind w:left="360"/>
        <w:contextualSpacing/>
        <w:jc w:val="both"/>
      </w:pPr>
      <w:bookmarkStart w:id="41" w:name="_Toc375308096"/>
      <w:bookmarkStart w:id="42" w:name="_Toc375572503"/>
      <w:r w:rsidRPr="00CD5A46">
        <w:t>This Agreement is limited to</w:t>
      </w:r>
      <w:r w:rsidR="006940BC" w:rsidRPr="00CD5A46">
        <w:t xml:space="preserve"> the following marking technologies:</w:t>
      </w:r>
      <w:bookmarkEnd w:id="41"/>
      <w:bookmarkEnd w:id="42"/>
    </w:p>
    <w:p w14:paraId="065F33E5" w14:textId="77777777" w:rsidR="006940BC" w:rsidRPr="00CD5A46" w:rsidRDefault="006940BC" w:rsidP="008818E0">
      <w:pPr>
        <w:numPr>
          <w:ilvl w:val="0"/>
          <w:numId w:val="1"/>
        </w:numPr>
        <w:tabs>
          <w:tab w:val="num" w:pos="-1584"/>
          <w:tab w:val="left" w:pos="2160"/>
        </w:tabs>
        <w:contextualSpacing/>
        <w:jc w:val="both"/>
      </w:pPr>
      <w:r w:rsidRPr="00CD5A46">
        <w:t>Electrophotography (EP)</w:t>
      </w:r>
    </w:p>
    <w:p w14:paraId="0D567BF0" w14:textId="77777777" w:rsidR="006940BC" w:rsidRPr="00CD5A46" w:rsidRDefault="006940BC" w:rsidP="008818E0">
      <w:pPr>
        <w:numPr>
          <w:ilvl w:val="0"/>
          <w:numId w:val="1"/>
        </w:numPr>
        <w:tabs>
          <w:tab w:val="num" w:pos="-1584"/>
          <w:tab w:val="left" w:pos="2160"/>
        </w:tabs>
        <w:contextualSpacing/>
        <w:jc w:val="both"/>
      </w:pPr>
      <w:r w:rsidRPr="00CD5A46">
        <w:t>Inkjet (IJ), including high performance IJ</w:t>
      </w:r>
    </w:p>
    <w:p w14:paraId="49DD4BF3" w14:textId="77777777" w:rsidR="006940BC" w:rsidRPr="00CD5A46" w:rsidRDefault="006940BC" w:rsidP="008818E0">
      <w:pPr>
        <w:numPr>
          <w:ilvl w:val="0"/>
          <w:numId w:val="1"/>
        </w:numPr>
        <w:tabs>
          <w:tab w:val="num" w:pos="-1584"/>
          <w:tab w:val="left" w:pos="2160"/>
        </w:tabs>
        <w:contextualSpacing/>
        <w:jc w:val="both"/>
      </w:pPr>
      <w:r w:rsidRPr="00CD5A46">
        <w:t>Solid Ink (SI)</w:t>
      </w:r>
      <w:r w:rsidR="00B1179F" w:rsidRPr="00CD5A46">
        <w:t>.</w:t>
      </w:r>
    </w:p>
    <w:p w14:paraId="49B79819" w14:textId="27EBC81C" w:rsidR="006D237D" w:rsidRDefault="006940BC" w:rsidP="008818E0">
      <w:pPr>
        <w:pStyle w:val="Heading3"/>
        <w:jc w:val="both"/>
      </w:pPr>
      <w:bookmarkStart w:id="43" w:name="_Toc375308097"/>
      <w:bookmarkStart w:id="44" w:name="_Toc375572504"/>
      <w:r w:rsidRPr="00A23A54">
        <w:lastRenderedPageBreak/>
        <w:t xml:space="preserve">Household and office </w:t>
      </w:r>
      <w:r w:rsidR="007456D0" w:rsidRPr="00A23A54">
        <w:t>equipment</w:t>
      </w:r>
      <w:bookmarkEnd w:id="43"/>
      <w:bookmarkEnd w:id="44"/>
    </w:p>
    <w:p w14:paraId="00ADD5B2" w14:textId="77777777" w:rsidR="0089202B" w:rsidRPr="0089202B" w:rsidRDefault="0089202B" w:rsidP="008818E0">
      <w:pPr>
        <w:jc w:val="both"/>
      </w:pPr>
    </w:p>
    <w:p w14:paraId="2352C35C" w14:textId="77777777" w:rsidR="006940BC" w:rsidRDefault="007456D0" w:rsidP="008818E0">
      <w:pPr>
        <w:pStyle w:val="Heading3"/>
        <w:numPr>
          <w:ilvl w:val="0"/>
          <w:numId w:val="0"/>
        </w:numPr>
        <w:spacing w:before="0" w:after="0"/>
        <w:ind w:left="360"/>
        <w:contextualSpacing/>
        <w:jc w:val="both"/>
      </w:pPr>
      <w:bookmarkStart w:id="45" w:name="_Toc375308098"/>
      <w:bookmarkStart w:id="46" w:name="_Toc375572505"/>
      <w:r w:rsidRPr="00CD5A46">
        <w:t>Th</w:t>
      </w:r>
      <w:r w:rsidR="00B266C1" w:rsidRPr="00CD5A46">
        <w:t>is</w:t>
      </w:r>
      <w:r w:rsidR="006940BC" w:rsidRPr="00CD5A46">
        <w:t xml:space="preserve"> </w:t>
      </w:r>
      <w:r w:rsidR="00B1179F" w:rsidRPr="00CD5A46">
        <w:t xml:space="preserve">Voluntary </w:t>
      </w:r>
      <w:r w:rsidR="00B266C1" w:rsidRPr="00CD5A46">
        <w:t>A</w:t>
      </w:r>
      <w:r w:rsidR="006940BC" w:rsidRPr="00CD5A46">
        <w:t xml:space="preserve">greement </w:t>
      </w:r>
      <w:r w:rsidR="00BA63CB" w:rsidRPr="00CD5A46">
        <w:t>is limited to</w:t>
      </w:r>
      <w:r w:rsidR="006940BC" w:rsidRPr="00CD5A46">
        <w:t xml:space="preserve"> household and office equipment, meaning:</w:t>
      </w:r>
      <w:bookmarkEnd w:id="45"/>
      <w:bookmarkEnd w:id="46"/>
    </w:p>
    <w:p w14:paraId="50BE5246" w14:textId="77777777" w:rsidR="0070729D" w:rsidRPr="0070729D" w:rsidRDefault="0070729D" w:rsidP="0070729D"/>
    <w:p w14:paraId="391D76D1" w14:textId="77777777" w:rsidR="006940BC" w:rsidRPr="00CD5A46" w:rsidRDefault="006940BC" w:rsidP="008818E0">
      <w:pPr>
        <w:numPr>
          <w:ilvl w:val="0"/>
          <w:numId w:val="1"/>
        </w:numPr>
        <w:tabs>
          <w:tab w:val="num" w:pos="-1584"/>
          <w:tab w:val="left" w:pos="2160"/>
        </w:tabs>
        <w:contextualSpacing/>
        <w:jc w:val="both"/>
      </w:pPr>
      <w:r w:rsidRPr="00CD5A46">
        <w:t xml:space="preserve">Standard </w:t>
      </w:r>
      <w:r w:rsidR="00B1179F" w:rsidRPr="00CD5A46">
        <w:t xml:space="preserve">black &amp; white (BW) </w:t>
      </w:r>
      <w:r w:rsidRPr="00CD5A46">
        <w:t xml:space="preserve">format products with maximum speed &lt; 66 A4 images per minute </w:t>
      </w:r>
    </w:p>
    <w:p w14:paraId="3A63F3F6" w14:textId="77777777" w:rsidR="006940BC" w:rsidRPr="00CD5A46" w:rsidRDefault="006940BC" w:rsidP="008818E0">
      <w:pPr>
        <w:numPr>
          <w:ilvl w:val="0"/>
          <w:numId w:val="1"/>
        </w:numPr>
        <w:tabs>
          <w:tab w:val="num" w:pos="-1584"/>
          <w:tab w:val="left" w:pos="2160"/>
        </w:tabs>
        <w:contextualSpacing/>
        <w:jc w:val="both"/>
      </w:pPr>
      <w:r w:rsidRPr="00CD5A46">
        <w:t>Standard Colour format products with maximum speed &lt;51 A4 images per</w:t>
      </w:r>
      <w:r w:rsidR="00073090" w:rsidRPr="00CD5A46">
        <w:t xml:space="preserve"> </w:t>
      </w:r>
      <w:r w:rsidRPr="00CD5A46">
        <w:t xml:space="preserve">minute </w:t>
      </w:r>
    </w:p>
    <w:p w14:paraId="2792FB83" w14:textId="77777777" w:rsidR="006940BC" w:rsidRDefault="006940BC" w:rsidP="008818E0">
      <w:pPr>
        <w:tabs>
          <w:tab w:val="left" w:pos="2160"/>
        </w:tabs>
        <w:ind w:left="720"/>
        <w:contextualSpacing/>
        <w:jc w:val="both"/>
      </w:pPr>
      <w:r w:rsidRPr="00CD5A46">
        <w:t>(Speed to be rounded to the nearest integer as prescribed in the ENERGY STAR</w:t>
      </w:r>
      <w:r w:rsidR="005C7BE5" w:rsidRPr="00CD5A46">
        <w:t xml:space="preserve"> ® </w:t>
      </w:r>
      <w:r w:rsidRPr="00CD5A46">
        <w:t>agreement).</w:t>
      </w:r>
    </w:p>
    <w:p w14:paraId="1C07464B" w14:textId="77777777" w:rsidR="0089202B" w:rsidRDefault="0089202B" w:rsidP="008818E0">
      <w:pPr>
        <w:tabs>
          <w:tab w:val="left" w:pos="2160"/>
        </w:tabs>
        <w:contextualSpacing/>
        <w:jc w:val="both"/>
      </w:pPr>
    </w:p>
    <w:p w14:paraId="4CC78D95" w14:textId="77777777" w:rsidR="0034644C" w:rsidRDefault="006940BC" w:rsidP="008818E0">
      <w:pPr>
        <w:tabs>
          <w:tab w:val="left" w:pos="426"/>
          <w:tab w:val="left" w:pos="2160"/>
        </w:tabs>
        <w:ind w:left="426"/>
        <w:contextualSpacing/>
        <w:jc w:val="both"/>
      </w:pPr>
      <w:r w:rsidRPr="00CD5A46">
        <w:t xml:space="preserve">Other format </w:t>
      </w:r>
      <w:r w:rsidR="00927E2D" w:rsidRPr="00CD5A46">
        <w:t xml:space="preserve">products </w:t>
      </w:r>
      <w:r w:rsidRPr="00CD5A46">
        <w:t xml:space="preserve">can be included in </w:t>
      </w:r>
      <w:r w:rsidR="00B266C1" w:rsidRPr="00CD5A46">
        <w:t>their reporting by</w:t>
      </w:r>
      <w:r w:rsidRPr="00CD5A46">
        <w:t xml:space="preserve"> individual</w:t>
      </w:r>
      <w:r w:rsidR="00F826EC" w:rsidRPr="00CD5A46">
        <w:t xml:space="preserve"> S</w:t>
      </w:r>
      <w:r w:rsidR="00304BF5" w:rsidRPr="00CD5A46">
        <w:t>ignator</w:t>
      </w:r>
      <w:r w:rsidR="00B266C1" w:rsidRPr="00CD5A46">
        <w:t>ies</w:t>
      </w:r>
      <w:r w:rsidR="00304BF5" w:rsidRPr="00CD5A46">
        <w:t xml:space="preserve"> </w:t>
      </w:r>
      <w:r w:rsidR="00B266C1" w:rsidRPr="00CD5A46">
        <w:t>on a voluntary basis</w:t>
      </w:r>
      <w:r w:rsidR="00CE2DFC" w:rsidRPr="00CD5A46">
        <w:t xml:space="preserve"> </w:t>
      </w:r>
      <w:r w:rsidR="002A6E7B" w:rsidRPr="00CD5A46">
        <w:t xml:space="preserve">but will not count </w:t>
      </w:r>
      <w:r w:rsidR="0034644C" w:rsidRPr="00CD5A46">
        <w:t>for the target specified in 4.1 a).</w:t>
      </w:r>
    </w:p>
    <w:p w14:paraId="1E8F616D" w14:textId="77777777" w:rsidR="00B02BD1" w:rsidRDefault="00B02BD1" w:rsidP="008818E0">
      <w:pPr>
        <w:tabs>
          <w:tab w:val="left" w:pos="2160"/>
        </w:tabs>
        <w:contextualSpacing/>
        <w:jc w:val="both"/>
      </w:pPr>
    </w:p>
    <w:p w14:paraId="5BF5BC64" w14:textId="77777777" w:rsidR="009D332C" w:rsidRDefault="009D332C" w:rsidP="008818E0">
      <w:pPr>
        <w:tabs>
          <w:tab w:val="left" w:pos="2160"/>
        </w:tabs>
        <w:contextualSpacing/>
        <w:jc w:val="both"/>
      </w:pPr>
    </w:p>
    <w:p w14:paraId="7E1EE1AE" w14:textId="77777777" w:rsidR="00265A2E" w:rsidRPr="00CD5A46" w:rsidRDefault="00265A2E" w:rsidP="008818E0">
      <w:pPr>
        <w:pStyle w:val="Heading1"/>
        <w:tabs>
          <w:tab w:val="left" w:pos="2160"/>
        </w:tabs>
        <w:spacing w:before="0" w:after="0"/>
        <w:contextualSpacing/>
        <w:jc w:val="both"/>
      </w:pPr>
      <w:bookmarkStart w:id="47" w:name="_Ref253736402"/>
      <w:bookmarkStart w:id="48" w:name="_Ref253736937"/>
      <w:bookmarkStart w:id="49" w:name="_Ref253744822"/>
      <w:bookmarkStart w:id="50" w:name="_Toc375572506"/>
      <w:r w:rsidRPr="00CD5A46">
        <w:t xml:space="preserve">Commitments Part I – </w:t>
      </w:r>
      <w:r w:rsidR="00ED300D" w:rsidRPr="00B02BD1">
        <w:rPr>
          <w:highlight w:val="yellow"/>
        </w:rPr>
        <w:t>Primary</w:t>
      </w:r>
      <w:r w:rsidR="00ED300D">
        <w:t xml:space="preserve"> </w:t>
      </w:r>
      <w:r w:rsidR="00377E15">
        <w:t>D</w:t>
      </w:r>
      <w:r w:rsidR="00377E15" w:rsidRPr="00CD5A46">
        <w:t xml:space="preserve">esign </w:t>
      </w:r>
      <w:r w:rsidRPr="00CD5A46">
        <w:t>Requirements</w:t>
      </w:r>
      <w:bookmarkEnd w:id="47"/>
      <w:bookmarkEnd w:id="48"/>
      <w:bookmarkEnd w:id="49"/>
      <w:bookmarkEnd w:id="50"/>
    </w:p>
    <w:p w14:paraId="3A8A0B71" w14:textId="1E2FBF7F" w:rsidR="00B90E57" w:rsidRPr="00A47882" w:rsidRDefault="00B90E57" w:rsidP="008818E0">
      <w:pPr>
        <w:pStyle w:val="Heading2"/>
        <w:numPr>
          <w:ilvl w:val="0"/>
          <w:numId w:val="0"/>
        </w:numPr>
        <w:ind w:left="936" w:hanging="576"/>
        <w:jc w:val="both"/>
        <w:rPr>
          <w:highlight w:val="yellow"/>
        </w:rPr>
      </w:pPr>
      <w:bookmarkStart w:id="51" w:name="_Toc375308105"/>
      <w:bookmarkStart w:id="52" w:name="_Toc375572507"/>
      <w:r w:rsidRPr="00A47882">
        <w:rPr>
          <w:highlight w:val="yellow"/>
        </w:rPr>
        <w:t>A model is considered Part I qualified when it meets all the requirements as detailed in section 4</w:t>
      </w:r>
      <w:bookmarkEnd w:id="51"/>
      <w:r>
        <w:rPr>
          <w:highlight w:val="yellow"/>
        </w:rPr>
        <w:t>.</w:t>
      </w:r>
      <w:bookmarkEnd w:id="52"/>
    </w:p>
    <w:p w14:paraId="6CE615AB" w14:textId="77777777" w:rsidR="00B90E57" w:rsidRPr="00CD5A46" w:rsidRDefault="00B90E57" w:rsidP="008818E0">
      <w:pPr>
        <w:contextualSpacing/>
        <w:jc w:val="both"/>
      </w:pPr>
    </w:p>
    <w:p w14:paraId="7659C5CE" w14:textId="77777777" w:rsidR="00265A2E" w:rsidRDefault="004A1B32" w:rsidP="008818E0">
      <w:pPr>
        <w:pStyle w:val="Heading2"/>
        <w:tabs>
          <w:tab w:val="left" w:pos="2160"/>
        </w:tabs>
        <w:spacing w:before="0" w:after="0"/>
        <w:contextualSpacing/>
        <w:jc w:val="both"/>
        <w:rPr>
          <w:b/>
        </w:rPr>
      </w:pPr>
      <w:bookmarkStart w:id="53" w:name="_Ref254010679"/>
      <w:bookmarkStart w:id="54" w:name="_Toc375308100"/>
      <w:bookmarkStart w:id="55" w:name="_Toc375572508"/>
      <w:r w:rsidRPr="00B02BD1">
        <w:rPr>
          <w:b/>
        </w:rPr>
        <w:t>P</w:t>
      </w:r>
      <w:r w:rsidR="009D713B" w:rsidRPr="00B02BD1">
        <w:rPr>
          <w:b/>
        </w:rPr>
        <w:t>rimary requirements</w:t>
      </w:r>
      <w:bookmarkEnd w:id="53"/>
      <w:bookmarkEnd w:id="54"/>
      <w:bookmarkEnd w:id="55"/>
    </w:p>
    <w:p w14:paraId="684BC6BC" w14:textId="77777777" w:rsidR="00A47882" w:rsidRPr="00A47882" w:rsidRDefault="00A47882" w:rsidP="008818E0">
      <w:pPr>
        <w:jc w:val="both"/>
      </w:pPr>
    </w:p>
    <w:p w14:paraId="6D065B48" w14:textId="3CE2531F" w:rsidR="00265A2E" w:rsidRPr="00CD5A46" w:rsidRDefault="00265A2E" w:rsidP="008818E0">
      <w:pPr>
        <w:pStyle w:val="Heading3"/>
        <w:numPr>
          <w:ilvl w:val="0"/>
          <w:numId w:val="7"/>
        </w:numPr>
        <w:tabs>
          <w:tab w:val="clear" w:pos="1080"/>
          <w:tab w:val="num" w:pos="1440"/>
          <w:tab w:val="left" w:pos="2160"/>
        </w:tabs>
        <w:spacing w:before="0" w:after="0"/>
        <w:contextualSpacing/>
        <w:jc w:val="both"/>
      </w:pPr>
      <w:bookmarkStart w:id="56" w:name="_Toc375308101"/>
      <w:bookmarkStart w:id="57" w:name="_Toc375572509"/>
      <w:r w:rsidRPr="00CD5A46">
        <w:t xml:space="preserve">Products </w:t>
      </w:r>
      <w:r w:rsidR="00A82B6B" w:rsidRPr="00CD5A46">
        <w:t xml:space="preserve">as defined in section 3 and </w:t>
      </w:r>
      <w:r w:rsidRPr="00CD5A46">
        <w:t xml:space="preserve">placed on the EU market </w:t>
      </w:r>
      <w:r w:rsidR="004D24D5" w:rsidRPr="00CD5A46">
        <w:t xml:space="preserve">by Signatories </w:t>
      </w:r>
      <w:r w:rsidR="00845753" w:rsidRPr="00B02BD1">
        <w:rPr>
          <w:highlight w:val="yellow"/>
        </w:rPr>
        <w:t>after 1 January 2014</w:t>
      </w:r>
      <w:r w:rsidR="00845753">
        <w:t xml:space="preserve"> </w:t>
      </w:r>
      <w:r w:rsidR="00BD4E02" w:rsidRPr="00CD5A46">
        <w:t xml:space="preserve">shall comply with </w:t>
      </w:r>
      <w:r w:rsidRPr="00CD5A46">
        <w:t xml:space="preserve">the specifications of </w:t>
      </w:r>
      <w:r w:rsidR="00EB1250" w:rsidRPr="00CD5A46">
        <w:t>ENERGY STAR</w:t>
      </w:r>
      <w:r w:rsidR="005510F7">
        <w:t xml:space="preserve"> ®</w:t>
      </w:r>
      <w:r w:rsidRPr="00CD5A46">
        <w:t xml:space="preserve"> </w:t>
      </w:r>
      <w:r w:rsidRPr="00B02BD1">
        <w:rPr>
          <w:highlight w:val="yellow"/>
        </w:rPr>
        <w:t>v</w:t>
      </w:r>
      <w:r w:rsidR="001272E3" w:rsidRPr="00B02BD1">
        <w:rPr>
          <w:highlight w:val="yellow"/>
        </w:rPr>
        <w:t>2.0</w:t>
      </w:r>
      <w:r w:rsidR="009D713B" w:rsidRPr="00CD5A46">
        <w:t xml:space="preserve"> and </w:t>
      </w:r>
      <w:r w:rsidR="00421861" w:rsidRPr="00B02BD1">
        <w:rPr>
          <w:highlight w:val="yellow"/>
        </w:rPr>
        <w:t>default</w:t>
      </w:r>
      <w:r w:rsidR="00421861">
        <w:t xml:space="preserve"> </w:t>
      </w:r>
      <w:r w:rsidR="009D713B" w:rsidRPr="00CD5A46">
        <w:t>duplex settings</w:t>
      </w:r>
      <w:r w:rsidR="00B12FDF" w:rsidRPr="00CD5A46">
        <w:t xml:space="preserve"> requirements</w:t>
      </w:r>
      <w:r w:rsidR="00421861">
        <w:t xml:space="preserve"> </w:t>
      </w:r>
      <w:r w:rsidR="00421861" w:rsidRPr="00B02BD1">
        <w:rPr>
          <w:highlight w:val="yellow"/>
        </w:rPr>
        <w:t>set out in sections b) and c) below</w:t>
      </w:r>
      <w:r w:rsidRPr="00CD5A46">
        <w:t xml:space="preserve"> in accordance with the following target</w:t>
      </w:r>
      <w:r w:rsidR="00421861">
        <w:t>s</w:t>
      </w:r>
      <w:r w:rsidRPr="00CD5A46">
        <w:t>:</w:t>
      </w:r>
      <w:bookmarkEnd w:id="56"/>
      <w:bookmarkEnd w:id="57"/>
    </w:p>
    <w:p w14:paraId="27E8DC35" w14:textId="77777777" w:rsidR="00265A2E" w:rsidRPr="00CD5A46" w:rsidRDefault="00265A2E" w:rsidP="008818E0">
      <w:pPr>
        <w:tabs>
          <w:tab w:val="left" w:pos="2160"/>
        </w:tabs>
        <w:contextualSpacing/>
        <w:jc w:val="both"/>
      </w:pPr>
    </w:p>
    <w:p w14:paraId="2B54AB41" w14:textId="77777777" w:rsidR="004D47D3" w:rsidRDefault="004D47D3" w:rsidP="008818E0">
      <w:pPr>
        <w:tabs>
          <w:tab w:val="left" w:pos="2160"/>
        </w:tabs>
        <w:ind w:left="1440"/>
        <w:contextualSpacing/>
        <w:jc w:val="both"/>
      </w:pPr>
    </w:p>
    <w:tbl>
      <w:tblPr>
        <w:tblStyle w:val="TableGrid"/>
        <w:tblW w:w="0" w:type="auto"/>
        <w:tblInd w:w="1101" w:type="dxa"/>
        <w:tblLook w:val="04A0" w:firstRow="1" w:lastRow="0" w:firstColumn="1" w:lastColumn="0" w:noHBand="0" w:noVBand="1"/>
      </w:tblPr>
      <w:tblGrid>
        <w:gridCol w:w="1248"/>
        <w:gridCol w:w="2285"/>
        <w:gridCol w:w="2304"/>
        <w:gridCol w:w="2304"/>
      </w:tblGrid>
      <w:tr w:rsidR="004D47D3" w:rsidRPr="00B02BD1" w14:paraId="0C71CB02" w14:textId="77777777" w:rsidTr="00B02BD1">
        <w:tc>
          <w:tcPr>
            <w:tcW w:w="1304" w:type="dxa"/>
          </w:tcPr>
          <w:p w14:paraId="6A3AB9D2" w14:textId="77777777" w:rsidR="004D47D3" w:rsidRPr="004D47D3" w:rsidRDefault="004D47D3" w:rsidP="008818E0">
            <w:pPr>
              <w:pStyle w:val="ListParagraph"/>
              <w:tabs>
                <w:tab w:val="left" w:pos="1276"/>
              </w:tabs>
              <w:ind w:left="0"/>
              <w:jc w:val="both"/>
              <w:rPr>
                <w:b/>
              </w:rPr>
            </w:pPr>
          </w:p>
        </w:tc>
        <w:tc>
          <w:tcPr>
            <w:tcW w:w="2405" w:type="dxa"/>
          </w:tcPr>
          <w:p w14:paraId="69F7ABFE" w14:textId="77777777" w:rsidR="004D47D3" w:rsidRPr="00B02BD1" w:rsidRDefault="004D47D3" w:rsidP="008818E0">
            <w:pPr>
              <w:contextualSpacing/>
              <w:jc w:val="both"/>
              <w:rPr>
                <w:b/>
                <w:highlight w:val="yellow"/>
              </w:rPr>
            </w:pPr>
            <w:r w:rsidRPr="00B02BD1">
              <w:rPr>
                <w:b/>
                <w:highlight w:val="yellow"/>
              </w:rPr>
              <w:t>Period</w:t>
            </w:r>
          </w:p>
        </w:tc>
        <w:tc>
          <w:tcPr>
            <w:tcW w:w="2406" w:type="dxa"/>
          </w:tcPr>
          <w:p w14:paraId="5D8E0F08" w14:textId="77777777" w:rsidR="004D47D3" w:rsidRPr="00B02BD1" w:rsidRDefault="004D47D3" w:rsidP="008818E0">
            <w:pPr>
              <w:contextualSpacing/>
              <w:jc w:val="both"/>
              <w:rPr>
                <w:b/>
                <w:highlight w:val="yellow"/>
              </w:rPr>
            </w:pPr>
            <w:r w:rsidRPr="00B02BD1">
              <w:rPr>
                <w:b/>
                <w:highlight w:val="yellow"/>
              </w:rPr>
              <w:t>OM products placed on the EU market</w:t>
            </w:r>
          </w:p>
        </w:tc>
        <w:tc>
          <w:tcPr>
            <w:tcW w:w="2406" w:type="dxa"/>
          </w:tcPr>
          <w:p w14:paraId="2DE384FE" w14:textId="77777777" w:rsidR="004D47D3" w:rsidRPr="00B02BD1" w:rsidRDefault="004D47D3" w:rsidP="008818E0">
            <w:pPr>
              <w:contextualSpacing/>
              <w:jc w:val="both"/>
              <w:rPr>
                <w:b/>
                <w:highlight w:val="yellow"/>
              </w:rPr>
            </w:pPr>
            <w:r w:rsidRPr="00B02BD1">
              <w:rPr>
                <w:b/>
                <w:highlight w:val="yellow"/>
              </w:rPr>
              <w:t>TEC products placed on the EU market</w:t>
            </w:r>
          </w:p>
        </w:tc>
      </w:tr>
      <w:tr w:rsidR="004D47D3" w:rsidRPr="00B02BD1" w14:paraId="38BD3CB6" w14:textId="77777777" w:rsidTr="00B02BD1">
        <w:tc>
          <w:tcPr>
            <w:tcW w:w="1304" w:type="dxa"/>
          </w:tcPr>
          <w:p w14:paraId="0485D130" w14:textId="77777777" w:rsidR="004D47D3" w:rsidRPr="00B02BD1" w:rsidRDefault="004D47D3" w:rsidP="008818E0">
            <w:pPr>
              <w:contextualSpacing/>
              <w:jc w:val="both"/>
              <w:rPr>
                <w:b/>
                <w:highlight w:val="yellow"/>
              </w:rPr>
            </w:pPr>
            <w:r w:rsidRPr="00B02BD1">
              <w:rPr>
                <w:b/>
                <w:highlight w:val="yellow"/>
              </w:rPr>
              <w:t>Tier 0*</w:t>
            </w:r>
          </w:p>
        </w:tc>
        <w:tc>
          <w:tcPr>
            <w:tcW w:w="2405" w:type="dxa"/>
          </w:tcPr>
          <w:p w14:paraId="1CB6E087" w14:textId="77777777" w:rsidR="004D47D3" w:rsidRPr="00B02BD1" w:rsidRDefault="004D47D3" w:rsidP="008818E0">
            <w:pPr>
              <w:contextualSpacing/>
              <w:jc w:val="both"/>
              <w:rPr>
                <w:highlight w:val="yellow"/>
              </w:rPr>
            </w:pPr>
            <w:r w:rsidRPr="00B02BD1">
              <w:rPr>
                <w:highlight w:val="yellow"/>
              </w:rPr>
              <w:t>Jan-Dec 2014</w:t>
            </w:r>
          </w:p>
        </w:tc>
        <w:tc>
          <w:tcPr>
            <w:tcW w:w="2406" w:type="dxa"/>
          </w:tcPr>
          <w:p w14:paraId="2ED05676" w14:textId="77777777" w:rsidR="004D47D3" w:rsidRPr="00B02BD1" w:rsidRDefault="004D47D3" w:rsidP="008818E0">
            <w:pPr>
              <w:contextualSpacing/>
              <w:jc w:val="both"/>
              <w:rPr>
                <w:highlight w:val="yellow"/>
              </w:rPr>
            </w:pPr>
            <w:r w:rsidRPr="00B02BD1">
              <w:rPr>
                <w:highlight w:val="yellow"/>
              </w:rPr>
              <w:t>N/A</w:t>
            </w:r>
          </w:p>
        </w:tc>
        <w:tc>
          <w:tcPr>
            <w:tcW w:w="2406" w:type="dxa"/>
          </w:tcPr>
          <w:p w14:paraId="0991C849" w14:textId="77777777" w:rsidR="004D47D3" w:rsidRPr="00B02BD1" w:rsidRDefault="004D47D3" w:rsidP="008818E0">
            <w:pPr>
              <w:contextualSpacing/>
              <w:jc w:val="both"/>
              <w:rPr>
                <w:highlight w:val="yellow"/>
              </w:rPr>
            </w:pPr>
            <w:r w:rsidRPr="00B02BD1">
              <w:rPr>
                <w:highlight w:val="yellow"/>
              </w:rPr>
              <w:t>N/A</w:t>
            </w:r>
          </w:p>
        </w:tc>
      </w:tr>
      <w:tr w:rsidR="004D47D3" w:rsidRPr="00B02BD1" w14:paraId="1D3F432B" w14:textId="77777777" w:rsidTr="00B02BD1">
        <w:tc>
          <w:tcPr>
            <w:tcW w:w="1304" w:type="dxa"/>
          </w:tcPr>
          <w:p w14:paraId="4ECEE1B1" w14:textId="77777777" w:rsidR="004D47D3" w:rsidRPr="00B02BD1" w:rsidRDefault="004D47D3" w:rsidP="008818E0">
            <w:pPr>
              <w:contextualSpacing/>
              <w:jc w:val="both"/>
              <w:rPr>
                <w:b/>
                <w:highlight w:val="yellow"/>
              </w:rPr>
            </w:pPr>
            <w:r w:rsidRPr="00B02BD1">
              <w:rPr>
                <w:b/>
                <w:highlight w:val="yellow"/>
              </w:rPr>
              <w:t>Tier I</w:t>
            </w:r>
          </w:p>
        </w:tc>
        <w:tc>
          <w:tcPr>
            <w:tcW w:w="2405" w:type="dxa"/>
          </w:tcPr>
          <w:p w14:paraId="71B51964" w14:textId="77777777" w:rsidR="004D47D3" w:rsidRPr="00B02BD1" w:rsidRDefault="004D47D3" w:rsidP="008818E0">
            <w:pPr>
              <w:contextualSpacing/>
              <w:jc w:val="both"/>
              <w:rPr>
                <w:highlight w:val="yellow"/>
              </w:rPr>
            </w:pPr>
            <w:r w:rsidRPr="00B02BD1">
              <w:rPr>
                <w:highlight w:val="yellow"/>
              </w:rPr>
              <w:t>Jan-Dec 2015</w:t>
            </w:r>
          </w:p>
        </w:tc>
        <w:tc>
          <w:tcPr>
            <w:tcW w:w="2406" w:type="dxa"/>
          </w:tcPr>
          <w:p w14:paraId="4B9C0637" w14:textId="77777777" w:rsidR="004D47D3" w:rsidRPr="00B02BD1" w:rsidRDefault="004D47D3" w:rsidP="008818E0">
            <w:pPr>
              <w:contextualSpacing/>
              <w:jc w:val="both"/>
              <w:rPr>
                <w:highlight w:val="yellow"/>
              </w:rPr>
            </w:pPr>
            <w:r w:rsidRPr="00B02BD1">
              <w:rPr>
                <w:highlight w:val="yellow"/>
              </w:rPr>
              <w:t>88%</w:t>
            </w:r>
          </w:p>
        </w:tc>
        <w:tc>
          <w:tcPr>
            <w:tcW w:w="2406" w:type="dxa"/>
          </w:tcPr>
          <w:p w14:paraId="3BA7539B" w14:textId="77777777" w:rsidR="004D47D3" w:rsidRPr="00B02BD1" w:rsidRDefault="00A31441" w:rsidP="008818E0">
            <w:pPr>
              <w:contextualSpacing/>
              <w:jc w:val="both"/>
              <w:rPr>
                <w:highlight w:val="yellow"/>
              </w:rPr>
            </w:pPr>
            <w:r w:rsidRPr="00B02BD1">
              <w:rPr>
                <w:highlight w:val="yellow"/>
              </w:rPr>
              <w:t>70</w:t>
            </w:r>
            <w:r w:rsidR="004D47D3" w:rsidRPr="00B02BD1">
              <w:rPr>
                <w:highlight w:val="yellow"/>
              </w:rPr>
              <w:t>%</w:t>
            </w:r>
          </w:p>
        </w:tc>
      </w:tr>
      <w:tr w:rsidR="004D47D3" w:rsidRPr="00B02BD1" w14:paraId="7CEA760A" w14:textId="77777777" w:rsidTr="00B02BD1">
        <w:tc>
          <w:tcPr>
            <w:tcW w:w="1304" w:type="dxa"/>
          </w:tcPr>
          <w:p w14:paraId="1F0084A4" w14:textId="77777777" w:rsidR="004D47D3" w:rsidRPr="00B02BD1" w:rsidRDefault="004D47D3" w:rsidP="008818E0">
            <w:pPr>
              <w:contextualSpacing/>
              <w:jc w:val="both"/>
              <w:rPr>
                <w:b/>
                <w:highlight w:val="yellow"/>
              </w:rPr>
            </w:pPr>
            <w:r w:rsidRPr="00B02BD1">
              <w:rPr>
                <w:b/>
                <w:highlight w:val="yellow"/>
              </w:rPr>
              <w:t>Tier II</w:t>
            </w:r>
          </w:p>
        </w:tc>
        <w:tc>
          <w:tcPr>
            <w:tcW w:w="2405" w:type="dxa"/>
          </w:tcPr>
          <w:p w14:paraId="71ED4E02" w14:textId="77777777" w:rsidR="004D47D3" w:rsidRPr="00B02BD1" w:rsidRDefault="004D47D3" w:rsidP="008818E0">
            <w:pPr>
              <w:contextualSpacing/>
              <w:jc w:val="both"/>
              <w:rPr>
                <w:highlight w:val="yellow"/>
              </w:rPr>
            </w:pPr>
            <w:r w:rsidRPr="00B02BD1">
              <w:rPr>
                <w:highlight w:val="yellow"/>
              </w:rPr>
              <w:t>Jan-Dec 2016</w:t>
            </w:r>
          </w:p>
        </w:tc>
        <w:tc>
          <w:tcPr>
            <w:tcW w:w="2406" w:type="dxa"/>
          </w:tcPr>
          <w:p w14:paraId="37D6990A" w14:textId="77777777" w:rsidR="004D47D3" w:rsidRPr="00B02BD1" w:rsidRDefault="004D47D3" w:rsidP="008818E0">
            <w:pPr>
              <w:contextualSpacing/>
              <w:jc w:val="both"/>
              <w:rPr>
                <w:highlight w:val="yellow"/>
              </w:rPr>
            </w:pPr>
            <w:r w:rsidRPr="00B02BD1">
              <w:rPr>
                <w:highlight w:val="yellow"/>
              </w:rPr>
              <w:t>90%</w:t>
            </w:r>
          </w:p>
        </w:tc>
        <w:tc>
          <w:tcPr>
            <w:tcW w:w="2406" w:type="dxa"/>
          </w:tcPr>
          <w:p w14:paraId="3EB9E747" w14:textId="77777777" w:rsidR="004D47D3" w:rsidRPr="00B02BD1" w:rsidRDefault="004D47D3" w:rsidP="008818E0">
            <w:pPr>
              <w:contextualSpacing/>
              <w:jc w:val="both"/>
              <w:rPr>
                <w:highlight w:val="yellow"/>
              </w:rPr>
            </w:pPr>
            <w:r w:rsidRPr="00B02BD1">
              <w:rPr>
                <w:highlight w:val="yellow"/>
              </w:rPr>
              <w:t>80%</w:t>
            </w:r>
          </w:p>
        </w:tc>
      </w:tr>
    </w:tbl>
    <w:p w14:paraId="49BF6960" w14:textId="77777777" w:rsidR="004D47D3" w:rsidRPr="00B02BD1" w:rsidRDefault="004D47D3" w:rsidP="008818E0">
      <w:pPr>
        <w:ind w:left="720" w:firstLine="720"/>
        <w:contextualSpacing/>
        <w:jc w:val="both"/>
        <w:rPr>
          <w:highlight w:val="yellow"/>
        </w:rPr>
      </w:pPr>
      <w:r w:rsidRPr="00B02BD1">
        <w:rPr>
          <w:highlight w:val="yellow"/>
        </w:rPr>
        <w:t>*Baseline report</w:t>
      </w:r>
    </w:p>
    <w:p w14:paraId="4F3A5892" w14:textId="77777777" w:rsidR="00A93019" w:rsidRPr="00B02BD1" w:rsidRDefault="00A93019" w:rsidP="008818E0">
      <w:pPr>
        <w:contextualSpacing/>
        <w:jc w:val="both"/>
        <w:rPr>
          <w:highlight w:val="yellow"/>
        </w:rPr>
      </w:pPr>
    </w:p>
    <w:p w14:paraId="0C64CAEF" w14:textId="5E583265" w:rsidR="004D47D3" w:rsidRDefault="00BE4E49" w:rsidP="008818E0">
      <w:pPr>
        <w:ind w:left="1080"/>
        <w:contextualSpacing/>
        <w:jc w:val="both"/>
      </w:pPr>
      <w:r>
        <w:rPr>
          <w:highlight w:val="yellow"/>
        </w:rPr>
        <w:t xml:space="preserve">NB: </w:t>
      </w:r>
      <w:r w:rsidR="004D47D3" w:rsidRPr="00B02BD1">
        <w:rPr>
          <w:highlight w:val="yellow"/>
        </w:rPr>
        <w:t>Products placed on the EU market</w:t>
      </w:r>
      <w:r w:rsidR="002F0AF6">
        <w:rPr>
          <w:highlight w:val="yellow"/>
        </w:rPr>
        <w:t xml:space="preserve"> between</w:t>
      </w:r>
      <w:r w:rsidR="00A93019" w:rsidRPr="00B02BD1">
        <w:rPr>
          <w:highlight w:val="yellow"/>
        </w:rPr>
        <w:t xml:space="preserve"> </w:t>
      </w:r>
      <w:r w:rsidR="002F0AF6">
        <w:rPr>
          <w:highlight w:val="yellow"/>
        </w:rPr>
        <w:t xml:space="preserve">1 </w:t>
      </w:r>
      <w:r w:rsidR="00A93019" w:rsidRPr="00B02BD1">
        <w:rPr>
          <w:highlight w:val="yellow"/>
        </w:rPr>
        <w:t>Jan</w:t>
      </w:r>
      <w:r w:rsidR="002F0AF6">
        <w:rPr>
          <w:highlight w:val="yellow"/>
        </w:rPr>
        <w:t xml:space="preserve">uary and 31 </w:t>
      </w:r>
      <w:r w:rsidR="00A93019" w:rsidRPr="00B02BD1">
        <w:rPr>
          <w:highlight w:val="yellow"/>
        </w:rPr>
        <w:t>Dec</w:t>
      </w:r>
      <w:r w:rsidR="002F0AF6">
        <w:rPr>
          <w:highlight w:val="yellow"/>
        </w:rPr>
        <w:t>ember</w:t>
      </w:r>
      <w:r w:rsidR="00A93019" w:rsidRPr="00B02BD1">
        <w:rPr>
          <w:highlight w:val="yellow"/>
        </w:rPr>
        <w:t xml:space="preserve"> 2013</w:t>
      </w:r>
      <w:r w:rsidR="004D47D3" w:rsidRPr="00B02BD1">
        <w:rPr>
          <w:highlight w:val="yellow"/>
        </w:rPr>
        <w:t xml:space="preserve"> </w:t>
      </w:r>
      <w:proofErr w:type="gramStart"/>
      <w:r w:rsidR="004D47D3" w:rsidRPr="00B02BD1">
        <w:rPr>
          <w:highlight w:val="yellow"/>
        </w:rPr>
        <w:t>remain</w:t>
      </w:r>
      <w:proofErr w:type="gramEnd"/>
      <w:r w:rsidR="004D47D3" w:rsidRPr="00B02BD1">
        <w:rPr>
          <w:highlight w:val="yellow"/>
        </w:rPr>
        <w:t xml:space="preserve"> subject to version 4 of the Voluntary Agreement.</w:t>
      </w:r>
    </w:p>
    <w:p w14:paraId="4A0B3A58" w14:textId="77777777" w:rsidR="00000B79" w:rsidRDefault="00000B79" w:rsidP="008818E0">
      <w:pPr>
        <w:ind w:left="1080"/>
        <w:contextualSpacing/>
        <w:jc w:val="both"/>
      </w:pPr>
    </w:p>
    <w:p w14:paraId="11C9E9E6" w14:textId="77777777" w:rsidR="004D24D5" w:rsidRPr="00CD5A46" w:rsidRDefault="004D24D5" w:rsidP="008818E0">
      <w:pPr>
        <w:pStyle w:val="Heading3"/>
        <w:numPr>
          <w:ilvl w:val="0"/>
          <w:numId w:val="0"/>
        </w:numPr>
        <w:tabs>
          <w:tab w:val="clear" w:pos="1800"/>
          <w:tab w:val="left" w:pos="1080"/>
          <w:tab w:val="left" w:pos="2160"/>
        </w:tabs>
        <w:spacing w:before="0" w:after="0"/>
        <w:ind w:left="1080"/>
        <w:contextualSpacing/>
        <w:jc w:val="both"/>
      </w:pPr>
      <w:bookmarkStart w:id="58" w:name="_Toc375308102"/>
      <w:bookmarkStart w:id="59" w:name="_Toc375572510"/>
      <w:r w:rsidRPr="00CD5A46">
        <w:t xml:space="preserve">For the purposes of compliance with </w:t>
      </w:r>
      <w:r w:rsidR="004A1B32">
        <w:t xml:space="preserve">this </w:t>
      </w:r>
      <w:r w:rsidRPr="00CD5A46">
        <w:t>section, the rate of compliance shall be calculated following the methodology described in Annex B.</w:t>
      </w:r>
      <w:bookmarkEnd w:id="58"/>
      <w:bookmarkEnd w:id="59"/>
      <w:r w:rsidRPr="00CD5A46">
        <w:t xml:space="preserve"> </w:t>
      </w:r>
    </w:p>
    <w:p w14:paraId="0A1EE371" w14:textId="77777777" w:rsidR="00265A2E" w:rsidRPr="00CD5A46" w:rsidRDefault="00265A2E" w:rsidP="008818E0">
      <w:pPr>
        <w:tabs>
          <w:tab w:val="left" w:pos="2160"/>
        </w:tabs>
        <w:ind w:firstLine="540"/>
        <w:contextualSpacing/>
        <w:jc w:val="both"/>
      </w:pPr>
    </w:p>
    <w:p w14:paraId="5E081315" w14:textId="3D0B1723" w:rsidR="00265A2E" w:rsidRPr="00CD5A46" w:rsidRDefault="00265A2E" w:rsidP="008818E0">
      <w:pPr>
        <w:pStyle w:val="Heading3"/>
        <w:numPr>
          <w:ilvl w:val="0"/>
          <w:numId w:val="7"/>
        </w:numPr>
        <w:tabs>
          <w:tab w:val="clear" w:pos="1080"/>
          <w:tab w:val="num" w:pos="1440"/>
          <w:tab w:val="left" w:pos="2160"/>
        </w:tabs>
        <w:spacing w:before="0" w:after="0"/>
        <w:contextualSpacing/>
        <w:jc w:val="both"/>
      </w:pPr>
      <w:bookmarkStart w:id="60" w:name="_Toc375308103"/>
      <w:bookmarkStart w:id="61" w:name="_Toc375572511"/>
      <w:r w:rsidRPr="00CD5A46">
        <w:t xml:space="preserve">The specifications in </w:t>
      </w:r>
      <w:r w:rsidR="00EB1250" w:rsidRPr="00CD5A46">
        <w:t>ENERGY STAR</w:t>
      </w:r>
      <w:r w:rsidRPr="00CD5A46">
        <w:t xml:space="preserve"> </w:t>
      </w:r>
      <w:r w:rsidR="00B51594">
        <w:t xml:space="preserve">® </w:t>
      </w:r>
      <w:r w:rsidRPr="002458FC">
        <w:rPr>
          <w:highlight w:val="yellow"/>
        </w:rPr>
        <w:t>v</w:t>
      </w:r>
      <w:r w:rsidR="002403A2" w:rsidRPr="002458FC">
        <w:rPr>
          <w:highlight w:val="yellow"/>
        </w:rPr>
        <w:t>2.0</w:t>
      </w:r>
      <w:r w:rsidR="00B02BD1">
        <w:t xml:space="preserve"> concern</w:t>
      </w:r>
      <w:r w:rsidR="00644C0F">
        <w:rPr>
          <w:rStyle w:val="FootnoteReference"/>
        </w:rPr>
        <w:footnoteReference w:id="6"/>
      </w:r>
      <w:r w:rsidRPr="00CD5A46">
        <w:t>:</w:t>
      </w:r>
      <w:bookmarkEnd w:id="60"/>
      <w:bookmarkEnd w:id="61"/>
    </w:p>
    <w:p w14:paraId="76D0ECD5" w14:textId="77777777" w:rsidR="00265A2E" w:rsidRPr="00CD5A46" w:rsidRDefault="00265A2E" w:rsidP="008818E0">
      <w:pPr>
        <w:tabs>
          <w:tab w:val="left" w:pos="2160"/>
        </w:tabs>
        <w:contextualSpacing/>
        <w:jc w:val="both"/>
      </w:pPr>
    </w:p>
    <w:p w14:paraId="481AB046" w14:textId="77777777" w:rsidR="00265A2E" w:rsidRPr="00CD5A46" w:rsidRDefault="00B1179F" w:rsidP="0070729D">
      <w:pPr>
        <w:numPr>
          <w:ilvl w:val="0"/>
          <w:numId w:val="28"/>
        </w:numPr>
        <w:tabs>
          <w:tab w:val="left" w:pos="2160"/>
        </w:tabs>
        <w:contextualSpacing/>
        <w:jc w:val="both"/>
      </w:pPr>
      <w:r w:rsidRPr="00CD5A46">
        <w:t xml:space="preserve">Energy </w:t>
      </w:r>
      <w:r w:rsidR="00265A2E" w:rsidRPr="00CD5A46">
        <w:t>consumption requirements (TEC and OM products);</w:t>
      </w:r>
    </w:p>
    <w:p w14:paraId="42E941E0" w14:textId="77777777" w:rsidR="00265A2E" w:rsidRPr="00CD5A46" w:rsidRDefault="00B1179F" w:rsidP="0070729D">
      <w:pPr>
        <w:numPr>
          <w:ilvl w:val="0"/>
          <w:numId w:val="28"/>
        </w:numPr>
        <w:tabs>
          <w:tab w:val="left" w:pos="2160"/>
        </w:tabs>
        <w:contextualSpacing/>
        <w:jc w:val="both"/>
      </w:pPr>
      <w:r w:rsidRPr="00CD5A46">
        <w:t xml:space="preserve">Default </w:t>
      </w:r>
      <w:r w:rsidR="00265A2E" w:rsidRPr="00CD5A46">
        <w:t>delay times (OM products); and</w:t>
      </w:r>
    </w:p>
    <w:p w14:paraId="0990FD0E" w14:textId="77777777" w:rsidR="00265A2E" w:rsidRDefault="00B1179F" w:rsidP="0070729D">
      <w:pPr>
        <w:numPr>
          <w:ilvl w:val="0"/>
          <w:numId w:val="28"/>
        </w:numPr>
        <w:tabs>
          <w:tab w:val="left" w:pos="2160"/>
        </w:tabs>
        <w:contextualSpacing/>
        <w:jc w:val="both"/>
      </w:pPr>
      <w:r w:rsidRPr="00CD5A46">
        <w:t>Duplex</w:t>
      </w:r>
      <w:r w:rsidR="00265A2E" w:rsidRPr="00CD5A46">
        <w:t xml:space="preserve"> availability</w:t>
      </w:r>
      <w:r w:rsidR="00073090" w:rsidRPr="00CD5A46">
        <w:t xml:space="preserve"> </w:t>
      </w:r>
      <w:r w:rsidR="00265A2E" w:rsidRPr="00CD5A46">
        <w:t>(TEC products).</w:t>
      </w:r>
    </w:p>
    <w:p w14:paraId="1A48AAED" w14:textId="77777777" w:rsidR="009867D6" w:rsidRPr="00CD5A46" w:rsidRDefault="009867D6" w:rsidP="008818E0">
      <w:pPr>
        <w:tabs>
          <w:tab w:val="left" w:pos="2160"/>
        </w:tabs>
        <w:contextualSpacing/>
        <w:jc w:val="both"/>
      </w:pPr>
    </w:p>
    <w:p w14:paraId="70D1F959" w14:textId="77777777" w:rsidR="00B1179F" w:rsidRPr="00A31441" w:rsidRDefault="00421861" w:rsidP="008818E0">
      <w:pPr>
        <w:pStyle w:val="ListParagraph"/>
        <w:numPr>
          <w:ilvl w:val="0"/>
          <w:numId w:val="7"/>
        </w:numPr>
        <w:jc w:val="both"/>
      </w:pPr>
      <w:r w:rsidRPr="002458FC">
        <w:rPr>
          <w:rFonts w:ascii="Arial" w:hAnsi="Arial" w:cs="Arial"/>
          <w:sz w:val="20"/>
          <w:szCs w:val="20"/>
          <w:highlight w:val="yellow"/>
        </w:rPr>
        <w:t xml:space="preserve">According to the table below, </w:t>
      </w:r>
      <w:r w:rsidR="002458FC" w:rsidRPr="002458FC">
        <w:rPr>
          <w:rFonts w:ascii="Arial" w:hAnsi="Arial" w:cs="Arial"/>
          <w:sz w:val="20"/>
          <w:szCs w:val="20"/>
          <w:highlight w:val="yellow"/>
        </w:rPr>
        <w:t xml:space="preserve">and for </w:t>
      </w:r>
      <w:r w:rsidR="00BE246E">
        <w:rPr>
          <w:rFonts w:ascii="Arial" w:hAnsi="Arial" w:cs="Arial"/>
          <w:sz w:val="20"/>
          <w:szCs w:val="20"/>
          <w:highlight w:val="yellow"/>
        </w:rPr>
        <w:t xml:space="preserve">TEC </w:t>
      </w:r>
      <w:r w:rsidR="002458FC" w:rsidRPr="002458FC">
        <w:rPr>
          <w:rFonts w:ascii="Arial" w:hAnsi="Arial" w:cs="Arial"/>
          <w:sz w:val="20"/>
          <w:szCs w:val="20"/>
          <w:highlight w:val="yellow"/>
        </w:rPr>
        <w:t>products in the relevant speed category introduced after 1 January 2014,</w:t>
      </w:r>
      <w:r w:rsidR="002458FC">
        <w:rPr>
          <w:rFonts w:ascii="Arial" w:hAnsi="Arial" w:cs="Arial"/>
          <w:sz w:val="20"/>
          <w:szCs w:val="20"/>
        </w:rPr>
        <w:t xml:space="preserve"> </w:t>
      </w:r>
      <w:r w:rsidRPr="00B02BD1">
        <w:rPr>
          <w:rFonts w:ascii="Arial" w:hAnsi="Arial" w:cs="Arial"/>
          <w:sz w:val="20"/>
          <w:szCs w:val="20"/>
        </w:rPr>
        <w:t>d</w:t>
      </w:r>
      <w:r w:rsidR="00B1179F" w:rsidRPr="00B02BD1">
        <w:rPr>
          <w:rFonts w:ascii="Arial" w:hAnsi="Arial" w:cs="Arial"/>
          <w:sz w:val="20"/>
          <w:szCs w:val="20"/>
        </w:rPr>
        <w:t>uplex-printing</w:t>
      </w:r>
      <w:r w:rsidR="009D713B" w:rsidRPr="00B02BD1">
        <w:rPr>
          <w:rFonts w:ascii="Arial" w:hAnsi="Arial" w:cs="Arial"/>
          <w:sz w:val="20"/>
          <w:szCs w:val="20"/>
        </w:rPr>
        <w:t xml:space="preserve"> is set as default </w:t>
      </w:r>
      <w:r w:rsidR="002F7C11" w:rsidRPr="00B02BD1">
        <w:rPr>
          <w:rFonts w:ascii="Arial" w:hAnsi="Arial" w:cs="Arial"/>
          <w:sz w:val="20"/>
          <w:szCs w:val="20"/>
        </w:rPr>
        <w:t>when printing from the computer, meaning that the relevant software</w:t>
      </w:r>
      <w:r w:rsidR="001A6398" w:rsidRPr="00B02BD1">
        <w:rPr>
          <w:rFonts w:ascii="Arial" w:hAnsi="Arial" w:cs="Arial"/>
          <w:sz w:val="20"/>
          <w:szCs w:val="20"/>
        </w:rPr>
        <w:t xml:space="preserve"> (driver or</w:t>
      </w:r>
      <w:r w:rsidR="00EE4971" w:rsidRPr="00B02BD1">
        <w:rPr>
          <w:rFonts w:ascii="Arial" w:hAnsi="Arial" w:cs="Arial"/>
          <w:sz w:val="20"/>
          <w:szCs w:val="20"/>
        </w:rPr>
        <w:t xml:space="preserve"> firmware</w:t>
      </w:r>
      <w:r w:rsidR="001A6398" w:rsidRPr="00B02BD1">
        <w:rPr>
          <w:rFonts w:ascii="Arial" w:hAnsi="Arial" w:cs="Arial"/>
          <w:sz w:val="20"/>
          <w:szCs w:val="20"/>
        </w:rPr>
        <w:t>)</w:t>
      </w:r>
      <w:r w:rsidR="002F7C11" w:rsidRPr="00B02BD1">
        <w:rPr>
          <w:rFonts w:ascii="Arial" w:hAnsi="Arial" w:cs="Arial"/>
          <w:sz w:val="20"/>
          <w:szCs w:val="20"/>
        </w:rPr>
        <w:t xml:space="preserve"> </w:t>
      </w:r>
      <w:r w:rsidR="00BD4E02" w:rsidRPr="00B02BD1">
        <w:rPr>
          <w:rFonts w:ascii="Arial" w:hAnsi="Arial" w:cs="Arial"/>
          <w:sz w:val="20"/>
          <w:szCs w:val="20"/>
        </w:rPr>
        <w:t xml:space="preserve">shall </w:t>
      </w:r>
      <w:r w:rsidR="002F7C11" w:rsidRPr="00B02BD1">
        <w:rPr>
          <w:rFonts w:ascii="Arial" w:hAnsi="Arial" w:cs="Arial"/>
          <w:sz w:val="20"/>
          <w:szCs w:val="20"/>
        </w:rPr>
        <w:t>be configured so that the first print-job will be in duplex unless the print settings have been modified at the stage when the product is first installed to function as intended.</w:t>
      </w:r>
    </w:p>
    <w:p w14:paraId="4257AE76" w14:textId="7C12015C" w:rsidR="00CB7E68" w:rsidRDefault="00CB7E68" w:rsidP="008818E0">
      <w:pPr>
        <w:contextualSpacing/>
        <w:jc w:val="both"/>
        <w:rPr>
          <w:rFonts w:ascii="Cambria" w:hAnsi="Cambria" w:cs="Times New Roman"/>
          <w:sz w:val="24"/>
          <w:szCs w:val="24"/>
          <w:lang w:eastAsia="en-US"/>
        </w:rPr>
      </w:pPr>
      <w:r>
        <w:br w:type="page"/>
      </w:r>
    </w:p>
    <w:tbl>
      <w:tblPr>
        <w:tblW w:w="8822" w:type="dxa"/>
        <w:tblInd w:w="959" w:type="dxa"/>
        <w:tblLayout w:type="fixed"/>
        <w:tblLook w:val="04A0" w:firstRow="1" w:lastRow="0" w:firstColumn="1" w:lastColumn="0" w:noHBand="0" w:noVBand="1"/>
      </w:tblPr>
      <w:tblGrid>
        <w:gridCol w:w="2943"/>
        <w:gridCol w:w="3010"/>
        <w:gridCol w:w="2869"/>
      </w:tblGrid>
      <w:tr w:rsidR="00421861" w14:paraId="22E53F9B" w14:textId="77777777" w:rsidTr="005528C9">
        <w:trPr>
          <w:trHeight w:val="1061"/>
        </w:trPr>
        <w:tc>
          <w:tcPr>
            <w:tcW w:w="2943" w:type="dxa"/>
            <w:tcBorders>
              <w:top w:val="single" w:sz="6" w:space="0" w:color="000000"/>
              <w:left w:val="single" w:sz="4" w:space="0" w:color="000000"/>
              <w:bottom w:val="single" w:sz="2" w:space="0" w:color="000000"/>
              <w:right w:val="single" w:sz="4" w:space="0" w:color="000000"/>
            </w:tcBorders>
            <w:shd w:val="clear" w:color="auto" w:fill="D9D9D9"/>
            <w:hideMark/>
          </w:tcPr>
          <w:p w14:paraId="38CCCAB2" w14:textId="77777777" w:rsidR="00421861" w:rsidRPr="00B02BD1" w:rsidRDefault="00421861" w:rsidP="008818E0">
            <w:pPr>
              <w:pStyle w:val="Default"/>
              <w:contextualSpacing/>
              <w:jc w:val="both"/>
              <w:rPr>
                <w:sz w:val="16"/>
                <w:szCs w:val="20"/>
              </w:rPr>
            </w:pPr>
            <w:r w:rsidRPr="00B02BD1">
              <w:rPr>
                <w:b/>
                <w:bCs/>
                <w:sz w:val="16"/>
                <w:szCs w:val="20"/>
              </w:rPr>
              <w:lastRenderedPageBreak/>
              <w:t xml:space="preserve">Automatic Duplexing Requirements for all </w:t>
            </w:r>
            <w:proofErr w:type="spellStart"/>
            <w:r w:rsidRPr="00B02BD1">
              <w:rPr>
                <w:b/>
                <w:bCs/>
                <w:sz w:val="16"/>
                <w:szCs w:val="20"/>
              </w:rPr>
              <w:t>Color</w:t>
            </w:r>
            <w:proofErr w:type="spellEnd"/>
            <w:r w:rsidRPr="00B02BD1">
              <w:rPr>
                <w:b/>
                <w:bCs/>
                <w:sz w:val="16"/>
                <w:szCs w:val="20"/>
              </w:rPr>
              <w:t xml:space="preserve"> TEC Copiers, MFDs, and Printers Monochrome Product Speed, </w:t>
            </w:r>
            <w:r w:rsidRPr="00B02BD1">
              <w:rPr>
                <w:b/>
                <w:bCs/>
                <w:i/>
                <w:iCs/>
                <w:sz w:val="16"/>
                <w:szCs w:val="20"/>
              </w:rPr>
              <w:t>s</w:t>
            </w:r>
            <w:r w:rsidRPr="00B02BD1">
              <w:rPr>
                <w:b/>
                <w:bCs/>
                <w:sz w:val="16"/>
                <w:szCs w:val="20"/>
              </w:rPr>
              <w:t>, as Calculated in the Test Method (</w:t>
            </w:r>
            <w:proofErr w:type="spellStart"/>
            <w:r w:rsidRPr="00B02BD1">
              <w:rPr>
                <w:b/>
                <w:bCs/>
                <w:sz w:val="16"/>
                <w:szCs w:val="20"/>
              </w:rPr>
              <w:t>ipm</w:t>
            </w:r>
            <w:proofErr w:type="spellEnd"/>
            <w:r w:rsidRPr="00B02BD1">
              <w:rPr>
                <w:b/>
                <w:bCs/>
                <w:sz w:val="16"/>
                <w:szCs w:val="20"/>
              </w:rPr>
              <w:t>; BW)</w:t>
            </w:r>
          </w:p>
        </w:tc>
        <w:tc>
          <w:tcPr>
            <w:tcW w:w="3010" w:type="dxa"/>
            <w:tcBorders>
              <w:top w:val="single" w:sz="6" w:space="0" w:color="000000"/>
              <w:left w:val="single" w:sz="4" w:space="0" w:color="000000"/>
              <w:bottom w:val="single" w:sz="2" w:space="0" w:color="000000"/>
              <w:right w:val="single" w:sz="4" w:space="0" w:color="000000"/>
            </w:tcBorders>
            <w:shd w:val="clear" w:color="auto" w:fill="D9D9D9"/>
            <w:vAlign w:val="bottom"/>
            <w:hideMark/>
          </w:tcPr>
          <w:p w14:paraId="2388E2BC" w14:textId="77777777" w:rsidR="00421861" w:rsidRDefault="00421861" w:rsidP="008818E0">
            <w:pPr>
              <w:pStyle w:val="Default"/>
              <w:contextualSpacing/>
              <w:jc w:val="both"/>
              <w:rPr>
                <w:b/>
                <w:bCs/>
                <w:sz w:val="16"/>
                <w:szCs w:val="20"/>
              </w:rPr>
            </w:pPr>
            <w:r w:rsidRPr="00B02BD1">
              <w:rPr>
                <w:b/>
                <w:bCs/>
                <w:sz w:val="16"/>
                <w:szCs w:val="20"/>
              </w:rPr>
              <w:t>Automatic Duplexing Requirement</w:t>
            </w:r>
          </w:p>
          <w:p w14:paraId="556F187E" w14:textId="77777777" w:rsidR="005528C9" w:rsidRDefault="005528C9" w:rsidP="008818E0">
            <w:pPr>
              <w:pStyle w:val="Default"/>
              <w:contextualSpacing/>
              <w:jc w:val="both"/>
              <w:rPr>
                <w:b/>
                <w:bCs/>
                <w:sz w:val="16"/>
                <w:szCs w:val="20"/>
              </w:rPr>
            </w:pPr>
          </w:p>
          <w:p w14:paraId="220B7D94" w14:textId="77777777" w:rsidR="005528C9" w:rsidRPr="00B02BD1" w:rsidRDefault="005528C9" w:rsidP="008818E0">
            <w:pPr>
              <w:pStyle w:val="Default"/>
              <w:contextualSpacing/>
              <w:jc w:val="both"/>
              <w:rPr>
                <w:sz w:val="16"/>
                <w:szCs w:val="20"/>
              </w:rPr>
            </w:pPr>
          </w:p>
        </w:tc>
        <w:tc>
          <w:tcPr>
            <w:tcW w:w="2869" w:type="dxa"/>
            <w:tcBorders>
              <w:top w:val="single" w:sz="6" w:space="0" w:color="000000"/>
              <w:left w:val="single" w:sz="4" w:space="0" w:color="000000"/>
              <w:bottom w:val="single" w:sz="2" w:space="0" w:color="000000"/>
              <w:right w:val="single" w:sz="4" w:space="0" w:color="000000"/>
            </w:tcBorders>
            <w:shd w:val="clear" w:color="auto" w:fill="D9D9D9"/>
            <w:hideMark/>
          </w:tcPr>
          <w:p w14:paraId="2DDD6E82" w14:textId="77777777" w:rsidR="00421861" w:rsidRPr="00B02BD1" w:rsidRDefault="00421861" w:rsidP="008818E0">
            <w:pPr>
              <w:pStyle w:val="Default"/>
              <w:contextualSpacing/>
              <w:jc w:val="both"/>
              <w:rPr>
                <w:b/>
                <w:bCs/>
                <w:sz w:val="16"/>
                <w:szCs w:val="20"/>
              </w:rPr>
            </w:pPr>
            <w:r w:rsidRPr="00B02BD1">
              <w:rPr>
                <w:b/>
                <w:bCs/>
                <w:sz w:val="16"/>
                <w:szCs w:val="20"/>
              </w:rPr>
              <w:t>Default Duplex set at shipment or installation</w:t>
            </w:r>
          </w:p>
        </w:tc>
      </w:tr>
      <w:tr w:rsidR="00421861" w14:paraId="6B39B731" w14:textId="77777777" w:rsidTr="00B02BD1">
        <w:trPr>
          <w:trHeight w:val="135"/>
        </w:trPr>
        <w:tc>
          <w:tcPr>
            <w:tcW w:w="2943" w:type="dxa"/>
            <w:tcBorders>
              <w:top w:val="single" w:sz="2" w:space="0" w:color="000000"/>
              <w:left w:val="single" w:sz="4" w:space="0" w:color="000000"/>
              <w:bottom w:val="single" w:sz="4" w:space="0" w:color="000000"/>
              <w:right w:val="single" w:sz="4" w:space="0" w:color="000000"/>
            </w:tcBorders>
            <w:vAlign w:val="center"/>
            <w:hideMark/>
          </w:tcPr>
          <w:p w14:paraId="4FC5D0A2" w14:textId="77777777" w:rsidR="00421861" w:rsidRPr="00B02BD1" w:rsidRDefault="00421861" w:rsidP="008818E0">
            <w:pPr>
              <w:pStyle w:val="Default"/>
              <w:contextualSpacing/>
              <w:jc w:val="both"/>
              <w:rPr>
                <w:sz w:val="16"/>
                <w:szCs w:val="20"/>
                <w:highlight w:val="yellow"/>
              </w:rPr>
            </w:pPr>
            <w:r w:rsidRPr="00B02BD1">
              <w:rPr>
                <w:i/>
                <w:iCs/>
                <w:sz w:val="16"/>
                <w:szCs w:val="20"/>
                <w:highlight w:val="yellow"/>
              </w:rPr>
              <w:t xml:space="preserve">s </w:t>
            </w:r>
            <w:r w:rsidRPr="00B02BD1">
              <w:rPr>
                <w:sz w:val="16"/>
                <w:szCs w:val="20"/>
                <w:highlight w:val="yellow"/>
              </w:rPr>
              <w:t xml:space="preserve">≤ 19 </w:t>
            </w:r>
          </w:p>
        </w:tc>
        <w:tc>
          <w:tcPr>
            <w:tcW w:w="3010" w:type="dxa"/>
            <w:tcBorders>
              <w:top w:val="single" w:sz="2" w:space="0" w:color="000000"/>
              <w:left w:val="single" w:sz="4" w:space="0" w:color="000000"/>
              <w:bottom w:val="single" w:sz="4" w:space="0" w:color="000000"/>
              <w:right w:val="single" w:sz="4" w:space="0" w:color="000000"/>
            </w:tcBorders>
            <w:vAlign w:val="center"/>
            <w:hideMark/>
          </w:tcPr>
          <w:p w14:paraId="72E1C0F2" w14:textId="77777777" w:rsidR="00421861" w:rsidRPr="00B02BD1" w:rsidRDefault="00421861" w:rsidP="008818E0">
            <w:pPr>
              <w:pStyle w:val="Default"/>
              <w:contextualSpacing/>
              <w:jc w:val="both"/>
              <w:rPr>
                <w:sz w:val="16"/>
                <w:szCs w:val="20"/>
                <w:highlight w:val="yellow"/>
              </w:rPr>
            </w:pPr>
            <w:r w:rsidRPr="00B02BD1">
              <w:rPr>
                <w:sz w:val="16"/>
                <w:szCs w:val="20"/>
                <w:highlight w:val="yellow"/>
              </w:rPr>
              <w:t xml:space="preserve">None </w:t>
            </w:r>
          </w:p>
        </w:tc>
        <w:tc>
          <w:tcPr>
            <w:tcW w:w="2869" w:type="dxa"/>
            <w:tcBorders>
              <w:top w:val="single" w:sz="2" w:space="0" w:color="000000"/>
              <w:left w:val="single" w:sz="4" w:space="0" w:color="000000"/>
              <w:bottom w:val="single" w:sz="4" w:space="0" w:color="000000"/>
              <w:right w:val="single" w:sz="4" w:space="0" w:color="000000"/>
            </w:tcBorders>
            <w:hideMark/>
          </w:tcPr>
          <w:p w14:paraId="59B40BE8" w14:textId="77777777" w:rsidR="00421861" w:rsidRPr="00B02BD1" w:rsidRDefault="00421861" w:rsidP="008818E0">
            <w:pPr>
              <w:pStyle w:val="Default"/>
              <w:contextualSpacing/>
              <w:jc w:val="both"/>
              <w:rPr>
                <w:sz w:val="16"/>
                <w:szCs w:val="20"/>
                <w:highlight w:val="yellow"/>
              </w:rPr>
            </w:pPr>
            <w:r w:rsidRPr="00B02BD1">
              <w:rPr>
                <w:sz w:val="16"/>
                <w:szCs w:val="20"/>
                <w:highlight w:val="yellow"/>
              </w:rPr>
              <w:t>Not applicable</w:t>
            </w:r>
          </w:p>
        </w:tc>
      </w:tr>
      <w:tr w:rsidR="00421861" w14:paraId="5326A633" w14:textId="77777777" w:rsidTr="00B02BD1">
        <w:trPr>
          <w:trHeight w:val="233"/>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2035D2EE" w14:textId="77777777" w:rsidR="00421861" w:rsidRPr="00B02BD1" w:rsidRDefault="00421861" w:rsidP="008818E0">
            <w:pPr>
              <w:pStyle w:val="Default"/>
              <w:contextualSpacing/>
              <w:jc w:val="both"/>
              <w:rPr>
                <w:sz w:val="16"/>
                <w:szCs w:val="20"/>
                <w:highlight w:val="yellow"/>
              </w:rPr>
            </w:pPr>
            <w:r w:rsidRPr="00B02BD1">
              <w:rPr>
                <w:sz w:val="16"/>
                <w:szCs w:val="20"/>
                <w:highlight w:val="yellow"/>
              </w:rPr>
              <w:t xml:space="preserve">19 </w:t>
            </w:r>
            <w:r w:rsidRPr="00B02BD1">
              <w:rPr>
                <w:i/>
                <w:iCs/>
                <w:sz w:val="16"/>
                <w:szCs w:val="20"/>
                <w:highlight w:val="yellow"/>
              </w:rPr>
              <w:t xml:space="preserve">&lt; s </w:t>
            </w:r>
            <w:r w:rsidRPr="00B02BD1">
              <w:rPr>
                <w:sz w:val="16"/>
                <w:szCs w:val="20"/>
                <w:highlight w:val="yellow"/>
              </w:rPr>
              <w:t xml:space="preserve">&lt; </w:t>
            </w:r>
            <w:r w:rsidRPr="00B02BD1">
              <w:rPr>
                <w:i/>
                <w:iCs/>
                <w:sz w:val="16"/>
                <w:szCs w:val="20"/>
                <w:highlight w:val="yellow"/>
              </w:rPr>
              <w:t xml:space="preserve">35 </w:t>
            </w:r>
          </w:p>
        </w:tc>
        <w:tc>
          <w:tcPr>
            <w:tcW w:w="3010" w:type="dxa"/>
            <w:tcBorders>
              <w:top w:val="single" w:sz="4" w:space="0" w:color="000000"/>
              <w:left w:val="single" w:sz="4" w:space="0" w:color="000000"/>
              <w:bottom w:val="single" w:sz="4" w:space="0" w:color="000000"/>
              <w:right w:val="single" w:sz="4" w:space="0" w:color="000000"/>
            </w:tcBorders>
            <w:hideMark/>
          </w:tcPr>
          <w:p w14:paraId="4BE9BF50" w14:textId="77777777" w:rsidR="00421861" w:rsidRPr="00B02BD1" w:rsidRDefault="00421861" w:rsidP="008818E0">
            <w:pPr>
              <w:pStyle w:val="Default"/>
              <w:contextualSpacing/>
              <w:jc w:val="both"/>
              <w:rPr>
                <w:sz w:val="16"/>
                <w:szCs w:val="20"/>
                <w:highlight w:val="yellow"/>
              </w:rPr>
            </w:pPr>
            <w:r w:rsidRPr="00B02BD1">
              <w:rPr>
                <w:sz w:val="16"/>
                <w:szCs w:val="20"/>
                <w:highlight w:val="yellow"/>
              </w:rPr>
              <w:t xml:space="preserve">Integral to the base product or optional accessory </w:t>
            </w:r>
          </w:p>
        </w:tc>
        <w:tc>
          <w:tcPr>
            <w:tcW w:w="2869" w:type="dxa"/>
            <w:tcBorders>
              <w:top w:val="single" w:sz="4" w:space="0" w:color="000000"/>
              <w:left w:val="single" w:sz="4" w:space="0" w:color="000000"/>
              <w:bottom w:val="single" w:sz="4" w:space="0" w:color="000000"/>
              <w:right w:val="single" w:sz="4" w:space="0" w:color="000000"/>
            </w:tcBorders>
            <w:hideMark/>
          </w:tcPr>
          <w:p w14:paraId="615D4B82" w14:textId="77777777" w:rsidR="00421861" w:rsidRPr="00B02BD1" w:rsidRDefault="00421861" w:rsidP="008818E0">
            <w:pPr>
              <w:pStyle w:val="Default"/>
              <w:contextualSpacing/>
              <w:jc w:val="both"/>
              <w:rPr>
                <w:sz w:val="16"/>
                <w:szCs w:val="20"/>
                <w:highlight w:val="yellow"/>
              </w:rPr>
            </w:pPr>
            <w:r w:rsidRPr="00B02BD1">
              <w:rPr>
                <w:sz w:val="16"/>
                <w:szCs w:val="20"/>
                <w:highlight w:val="yellow"/>
              </w:rPr>
              <w:t>At discretion of either the user or manufacturer</w:t>
            </w:r>
          </w:p>
        </w:tc>
      </w:tr>
      <w:tr w:rsidR="00421861" w14:paraId="6F119EDF" w14:textId="77777777" w:rsidTr="00B02BD1">
        <w:trPr>
          <w:trHeight w:val="135"/>
        </w:trPr>
        <w:tc>
          <w:tcPr>
            <w:tcW w:w="2943" w:type="dxa"/>
            <w:tcBorders>
              <w:top w:val="single" w:sz="4" w:space="0" w:color="000000"/>
              <w:left w:val="single" w:sz="4" w:space="0" w:color="000000"/>
              <w:bottom w:val="single" w:sz="6" w:space="0" w:color="000000"/>
              <w:right w:val="single" w:sz="4" w:space="0" w:color="000000"/>
            </w:tcBorders>
            <w:vAlign w:val="center"/>
            <w:hideMark/>
          </w:tcPr>
          <w:p w14:paraId="0CC2C28E" w14:textId="77777777" w:rsidR="00421861" w:rsidRPr="00B02BD1" w:rsidRDefault="00421861" w:rsidP="008818E0">
            <w:pPr>
              <w:pStyle w:val="Default"/>
              <w:contextualSpacing/>
              <w:jc w:val="both"/>
              <w:rPr>
                <w:sz w:val="16"/>
                <w:szCs w:val="20"/>
                <w:highlight w:val="yellow"/>
              </w:rPr>
            </w:pPr>
            <w:r w:rsidRPr="00B02BD1">
              <w:rPr>
                <w:i/>
                <w:iCs/>
                <w:sz w:val="16"/>
                <w:szCs w:val="20"/>
                <w:highlight w:val="yellow"/>
              </w:rPr>
              <w:t xml:space="preserve">s ≥ </w:t>
            </w:r>
            <w:r w:rsidRPr="00B02BD1">
              <w:rPr>
                <w:sz w:val="16"/>
                <w:szCs w:val="20"/>
                <w:highlight w:val="yellow"/>
              </w:rPr>
              <w:t xml:space="preserve">35 </w:t>
            </w:r>
          </w:p>
        </w:tc>
        <w:tc>
          <w:tcPr>
            <w:tcW w:w="3010" w:type="dxa"/>
            <w:tcBorders>
              <w:top w:val="single" w:sz="4" w:space="0" w:color="000000"/>
              <w:left w:val="single" w:sz="4" w:space="0" w:color="000000"/>
              <w:bottom w:val="single" w:sz="6" w:space="0" w:color="000000"/>
              <w:right w:val="single" w:sz="4" w:space="0" w:color="000000"/>
            </w:tcBorders>
            <w:vAlign w:val="center"/>
            <w:hideMark/>
          </w:tcPr>
          <w:p w14:paraId="26AE74C4" w14:textId="77777777" w:rsidR="00421861" w:rsidRPr="00B02BD1" w:rsidRDefault="00421861" w:rsidP="008818E0">
            <w:pPr>
              <w:pStyle w:val="Default"/>
              <w:contextualSpacing/>
              <w:jc w:val="both"/>
              <w:rPr>
                <w:sz w:val="16"/>
                <w:szCs w:val="20"/>
                <w:highlight w:val="yellow"/>
              </w:rPr>
            </w:pPr>
            <w:r w:rsidRPr="00B02BD1">
              <w:rPr>
                <w:sz w:val="16"/>
                <w:szCs w:val="20"/>
                <w:highlight w:val="yellow"/>
              </w:rPr>
              <w:t>Integral to the base product</w:t>
            </w:r>
          </w:p>
        </w:tc>
        <w:tc>
          <w:tcPr>
            <w:tcW w:w="2869" w:type="dxa"/>
            <w:tcBorders>
              <w:top w:val="single" w:sz="4" w:space="0" w:color="000000"/>
              <w:left w:val="single" w:sz="4" w:space="0" w:color="000000"/>
              <w:bottom w:val="single" w:sz="6" w:space="0" w:color="000000"/>
              <w:right w:val="single" w:sz="4" w:space="0" w:color="000000"/>
            </w:tcBorders>
            <w:hideMark/>
          </w:tcPr>
          <w:p w14:paraId="0DC23901" w14:textId="77777777" w:rsidR="00421861" w:rsidRPr="00B02BD1" w:rsidRDefault="00421861" w:rsidP="008818E0">
            <w:pPr>
              <w:pStyle w:val="Default"/>
              <w:contextualSpacing/>
              <w:jc w:val="both"/>
              <w:rPr>
                <w:sz w:val="16"/>
                <w:szCs w:val="20"/>
                <w:highlight w:val="yellow"/>
              </w:rPr>
            </w:pPr>
            <w:r w:rsidRPr="00B02BD1">
              <w:rPr>
                <w:sz w:val="16"/>
                <w:szCs w:val="20"/>
                <w:highlight w:val="yellow"/>
              </w:rPr>
              <w:t>Required</w:t>
            </w:r>
          </w:p>
        </w:tc>
      </w:tr>
      <w:tr w:rsidR="00421861" w:rsidRPr="00421861" w14:paraId="3543C91D" w14:textId="77777777" w:rsidTr="00B02BD1">
        <w:trPr>
          <w:trHeight w:val="537"/>
        </w:trPr>
        <w:tc>
          <w:tcPr>
            <w:tcW w:w="2943" w:type="dxa"/>
            <w:tcBorders>
              <w:top w:val="single" w:sz="6" w:space="0" w:color="000000"/>
              <w:left w:val="single" w:sz="4" w:space="0" w:color="000000"/>
              <w:bottom w:val="single" w:sz="2" w:space="0" w:color="000000"/>
              <w:right w:val="single" w:sz="4" w:space="0" w:color="000000"/>
            </w:tcBorders>
            <w:shd w:val="clear" w:color="auto" w:fill="D9D9D9"/>
            <w:vAlign w:val="center"/>
            <w:hideMark/>
          </w:tcPr>
          <w:p w14:paraId="1208C41B" w14:textId="77777777" w:rsidR="00421861" w:rsidRPr="00B02BD1" w:rsidRDefault="00421861" w:rsidP="008818E0">
            <w:pPr>
              <w:pStyle w:val="Default"/>
              <w:contextualSpacing/>
              <w:jc w:val="both"/>
              <w:rPr>
                <w:sz w:val="16"/>
                <w:szCs w:val="20"/>
              </w:rPr>
            </w:pPr>
            <w:r w:rsidRPr="00B02BD1">
              <w:rPr>
                <w:b/>
                <w:bCs/>
                <w:sz w:val="16"/>
                <w:szCs w:val="20"/>
              </w:rPr>
              <w:t xml:space="preserve">Automatic Duplexing Requirements for all Monochrome TEC Copiers, MFDs, and Printers Monochrome Product Speed, </w:t>
            </w:r>
            <w:r w:rsidRPr="00B02BD1">
              <w:rPr>
                <w:b/>
                <w:bCs/>
                <w:i/>
                <w:iCs/>
                <w:sz w:val="16"/>
                <w:szCs w:val="20"/>
              </w:rPr>
              <w:t>s</w:t>
            </w:r>
            <w:r w:rsidRPr="00B02BD1">
              <w:rPr>
                <w:b/>
                <w:bCs/>
                <w:sz w:val="16"/>
                <w:szCs w:val="20"/>
              </w:rPr>
              <w:t>, as Calculated in the Test Method (</w:t>
            </w:r>
            <w:proofErr w:type="spellStart"/>
            <w:r w:rsidRPr="00B02BD1">
              <w:rPr>
                <w:b/>
                <w:bCs/>
                <w:sz w:val="16"/>
                <w:szCs w:val="20"/>
              </w:rPr>
              <w:t>ipm</w:t>
            </w:r>
            <w:proofErr w:type="spellEnd"/>
            <w:r w:rsidRPr="00B02BD1">
              <w:rPr>
                <w:b/>
                <w:bCs/>
                <w:sz w:val="16"/>
                <w:szCs w:val="20"/>
              </w:rPr>
              <w:t xml:space="preserve">) </w:t>
            </w:r>
          </w:p>
        </w:tc>
        <w:tc>
          <w:tcPr>
            <w:tcW w:w="3010" w:type="dxa"/>
            <w:tcBorders>
              <w:top w:val="single" w:sz="6" w:space="0" w:color="000000"/>
              <w:left w:val="single" w:sz="4" w:space="0" w:color="000000"/>
              <w:bottom w:val="single" w:sz="2" w:space="0" w:color="000000"/>
              <w:right w:val="single" w:sz="4" w:space="0" w:color="000000"/>
            </w:tcBorders>
            <w:shd w:val="clear" w:color="auto" w:fill="D9D9D9"/>
            <w:vAlign w:val="bottom"/>
            <w:hideMark/>
          </w:tcPr>
          <w:p w14:paraId="7557F348" w14:textId="77777777" w:rsidR="00421861" w:rsidRDefault="00421861" w:rsidP="008818E0">
            <w:pPr>
              <w:pStyle w:val="Default"/>
              <w:contextualSpacing/>
              <w:jc w:val="both"/>
              <w:rPr>
                <w:b/>
                <w:bCs/>
                <w:sz w:val="16"/>
                <w:szCs w:val="20"/>
              </w:rPr>
            </w:pPr>
            <w:r w:rsidRPr="00B02BD1">
              <w:rPr>
                <w:b/>
                <w:bCs/>
                <w:sz w:val="16"/>
                <w:szCs w:val="20"/>
              </w:rPr>
              <w:t xml:space="preserve">Automatic Duplexing Requirement </w:t>
            </w:r>
          </w:p>
          <w:p w14:paraId="4A1D0931" w14:textId="77777777" w:rsidR="005528C9" w:rsidRDefault="005528C9" w:rsidP="008818E0">
            <w:pPr>
              <w:pStyle w:val="Default"/>
              <w:contextualSpacing/>
              <w:jc w:val="both"/>
              <w:rPr>
                <w:b/>
                <w:bCs/>
                <w:sz w:val="16"/>
                <w:szCs w:val="20"/>
              </w:rPr>
            </w:pPr>
          </w:p>
          <w:p w14:paraId="56F67657" w14:textId="77777777" w:rsidR="005528C9" w:rsidRDefault="005528C9" w:rsidP="008818E0">
            <w:pPr>
              <w:pStyle w:val="Default"/>
              <w:contextualSpacing/>
              <w:jc w:val="both"/>
              <w:rPr>
                <w:b/>
                <w:bCs/>
                <w:sz w:val="16"/>
                <w:szCs w:val="20"/>
              </w:rPr>
            </w:pPr>
          </w:p>
          <w:p w14:paraId="4826C3C4" w14:textId="77777777" w:rsidR="005528C9" w:rsidRDefault="005528C9" w:rsidP="008818E0">
            <w:pPr>
              <w:pStyle w:val="Default"/>
              <w:contextualSpacing/>
              <w:jc w:val="both"/>
              <w:rPr>
                <w:b/>
                <w:bCs/>
                <w:sz w:val="16"/>
                <w:szCs w:val="20"/>
              </w:rPr>
            </w:pPr>
          </w:p>
          <w:p w14:paraId="12312014" w14:textId="77777777" w:rsidR="005528C9" w:rsidRPr="00B02BD1" w:rsidRDefault="005528C9" w:rsidP="008818E0">
            <w:pPr>
              <w:pStyle w:val="Default"/>
              <w:contextualSpacing/>
              <w:jc w:val="both"/>
              <w:rPr>
                <w:sz w:val="16"/>
                <w:szCs w:val="20"/>
              </w:rPr>
            </w:pPr>
          </w:p>
        </w:tc>
        <w:tc>
          <w:tcPr>
            <w:tcW w:w="2869" w:type="dxa"/>
            <w:tcBorders>
              <w:top w:val="single" w:sz="6" w:space="0" w:color="000000"/>
              <w:left w:val="single" w:sz="4" w:space="0" w:color="000000"/>
              <w:bottom w:val="single" w:sz="2" w:space="0" w:color="000000"/>
              <w:right w:val="single" w:sz="4" w:space="0" w:color="000000"/>
            </w:tcBorders>
            <w:shd w:val="clear" w:color="auto" w:fill="D9D9D9"/>
            <w:hideMark/>
          </w:tcPr>
          <w:p w14:paraId="01A86BFF" w14:textId="77777777" w:rsidR="00421861" w:rsidRPr="00B02BD1" w:rsidRDefault="00421861" w:rsidP="008818E0">
            <w:pPr>
              <w:pStyle w:val="Default"/>
              <w:contextualSpacing/>
              <w:jc w:val="both"/>
              <w:rPr>
                <w:b/>
                <w:bCs/>
                <w:sz w:val="16"/>
                <w:szCs w:val="20"/>
              </w:rPr>
            </w:pPr>
            <w:r w:rsidRPr="00B02BD1">
              <w:rPr>
                <w:b/>
                <w:bCs/>
                <w:sz w:val="16"/>
                <w:szCs w:val="20"/>
              </w:rPr>
              <w:t>Default Duplex set at shipment or installation</w:t>
            </w:r>
          </w:p>
        </w:tc>
      </w:tr>
      <w:tr w:rsidR="00421861" w:rsidRPr="00421861" w14:paraId="6BEEA88D" w14:textId="77777777" w:rsidTr="00B02BD1">
        <w:trPr>
          <w:trHeight w:val="135"/>
        </w:trPr>
        <w:tc>
          <w:tcPr>
            <w:tcW w:w="2943" w:type="dxa"/>
            <w:tcBorders>
              <w:top w:val="single" w:sz="2" w:space="0" w:color="000000"/>
              <w:left w:val="single" w:sz="4" w:space="0" w:color="000000"/>
              <w:bottom w:val="single" w:sz="4" w:space="0" w:color="000000"/>
              <w:right w:val="single" w:sz="4" w:space="0" w:color="000000"/>
            </w:tcBorders>
            <w:vAlign w:val="center"/>
            <w:hideMark/>
          </w:tcPr>
          <w:p w14:paraId="04872F36" w14:textId="77777777" w:rsidR="00421861" w:rsidRPr="00B02BD1" w:rsidRDefault="00421861" w:rsidP="008818E0">
            <w:pPr>
              <w:pStyle w:val="Default"/>
              <w:contextualSpacing/>
              <w:jc w:val="both"/>
              <w:rPr>
                <w:sz w:val="16"/>
                <w:szCs w:val="20"/>
                <w:highlight w:val="yellow"/>
              </w:rPr>
            </w:pPr>
            <w:r w:rsidRPr="00B02BD1">
              <w:rPr>
                <w:i/>
                <w:iCs/>
                <w:sz w:val="16"/>
                <w:szCs w:val="20"/>
                <w:highlight w:val="yellow"/>
              </w:rPr>
              <w:t xml:space="preserve">s </w:t>
            </w:r>
            <w:r w:rsidRPr="00B02BD1">
              <w:rPr>
                <w:sz w:val="16"/>
                <w:szCs w:val="20"/>
                <w:highlight w:val="yellow"/>
              </w:rPr>
              <w:t xml:space="preserve">≤ 24 </w:t>
            </w:r>
          </w:p>
        </w:tc>
        <w:tc>
          <w:tcPr>
            <w:tcW w:w="3010" w:type="dxa"/>
            <w:tcBorders>
              <w:top w:val="single" w:sz="2" w:space="0" w:color="000000"/>
              <w:left w:val="single" w:sz="4" w:space="0" w:color="000000"/>
              <w:bottom w:val="single" w:sz="4" w:space="0" w:color="000000"/>
              <w:right w:val="single" w:sz="4" w:space="0" w:color="000000"/>
            </w:tcBorders>
            <w:vAlign w:val="center"/>
            <w:hideMark/>
          </w:tcPr>
          <w:p w14:paraId="512AE925" w14:textId="77777777" w:rsidR="00421861" w:rsidRPr="00B02BD1" w:rsidRDefault="00421861" w:rsidP="008818E0">
            <w:pPr>
              <w:pStyle w:val="Default"/>
              <w:contextualSpacing/>
              <w:jc w:val="both"/>
              <w:rPr>
                <w:sz w:val="16"/>
                <w:szCs w:val="20"/>
                <w:highlight w:val="yellow"/>
              </w:rPr>
            </w:pPr>
            <w:r w:rsidRPr="00B02BD1">
              <w:rPr>
                <w:sz w:val="16"/>
                <w:szCs w:val="20"/>
                <w:highlight w:val="yellow"/>
              </w:rPr>
              <w:t xml:space="preserve">None </w:t>
            </w:r>
          </w:p>
        </w:tc>
        <w:tc>
          <w:tcPr>
            <w:tcW w:w="2869" w:type="dxa"/>
            <w:tcBorders>
              <w:top w:val="single" w:sz="2" w:space="0" w:color="000000"/>
              <w:left w:val="single" w:sz="4" w:space="0" w:color="000000"/>
              <w:bottom w:val="single" w:sz="4" w:space="0" w:color="000000"/>
              <w:right w:val="single" w:sz="4" w:space="0" w:color="000000"/>
            </w:tcBorders>
            <w:hideMark/>
          </w:tcPr>
          <w:p w14:paraId="763F0D50" w14:textId="77777777" w:rsidR="00421861" w:rsidRPr="00B02BD1" w:rsidRDefault="00421861" w:rsidP="008818E0">
            <w:pPr>
              <w:pStyle w:val="Default"/>
              <w:contextualSpacing/>
              <w:jc w:val="both"/>
              <w:rPr>
                <w:sz w:val="16"/>
                <w:szCs w:val="20"/>
                <w:highlight w:val="yellow"/>
              </w:rPr>
            </w:pPr>
            <w:r w:rsidRPr="00B02BD1">
              <w:rPr>
                <w:sz w:val="16"/>
                <w:szCs w:val="20"/>
                <w:highlight w:val="yellow"/>
              </w:rPr>
              <w:t>Not applicable</w:t>
            </w:r>
          </w:p>
        </w:tc>
      </w:tr>
      <w:tr w:rsidR="00421861" w:rsidRPr="00421861" w14:paraId="4558ED94" w14:textId="77777777" w:rsidTr="00B02BD1">
        <w:trPr>
          <w:trHeight w:val="233"/>
        </w:trPr>
        <w:tc>
          <w:tcPr>
            <w:tcW w:w="2943" w:type="dxa"/>
            <w:tcBorders>
              <w:top w:val="single" w:sz="4" w:space="0" w:color="000000"/>
              <w:left w:val="single" w:sz="4" w:space="0" w:color="000000"/>
              <w:bottom w:val="single" w:sz="4" w:space="0" w:color="000000"/>
              <w:right w:val="single" w:sz="4" w:space="0" w:color="000000"/>
            </w:tcBorders>
            <w:vAlign w:val="center"/>
            <w:hideMark/>
          </w:tcPr>
          <w:p w14:paraId="3DC5180B" w14:textId="77777777" w:rsidR="00421861" w:rsidRPr="00B02BD1" w:rsidRDefault="00421861" w:rsidP="008818E0">
            <w:pPr>
              <w:pStyle w:val="Default"/>
              <w:contextualSpacing/>
              <w:jc w:val="both"/>
              <w:rPr>
                <w:sz w:val="16"/>
                <w:szCs w:val="20"/>
                <w:highlight w:val="yellow"/>
              </w:rPr>
            </w:pPr>
            <w:r w:rsidRPr="00B02BD1">
              <w:rPr>
                <w:sz w:val="16"/>
                <w:szCs w:val="20"/>
                <w:highlight w:val="yellow"/>
              </w:rPr>
              <w:t xml:space="preserve">24 </w:t>
            </w:r>
            <w:r w:rsidRPr="00B02BD1">
              <w:rPr>
                <w:i/>
                <w:iCs/>
                <w:sz w:val="16"/>
                <w:szCs w:val="20"/>
                <w:highlight w:val="yellow"/>
              </w:rPr>
              <w:t xml:space="preserve">&lt; s </w:t>
            </w:r>
            <w:r w:rsidRPr="00B02BD1">
              <w:rPr>
                <w:sz w:val="16"/>
                <w:szCs w:val="20"/>
                <w:highlight w:val="yellow"/>
              </w:rPr>
              <w:t xml:space="preserve">&lt; </w:t>
            </w:r>
            <w:r w:rsidRPr="00B02BD1">
              <w:rPr>
                <w:i/>
                <w:iCs/>
                <w:sz w:val="16"/>
                <w:szCs w:val="20"/>
                <w:highlight w:val="yellow"/>
              </w:rPr>
              <w:t xml:space="preserve">37 </w:t>
            </w:r>
          </w:p>
        </w:tc>
        <w:tc>
          <w:tcPr>
            <w:tcW w:w="3010" w:type="dxa"/>
            <w:tcBorders>
              <w:top w:val="single" w:sz="4" w:space="0" w:color="000000"/>
              <w:left w:val="single" w:sz="4" w:space="0" w:color="000000"/>
              <w:bottom w:val="single" w:sz="4" w:space="0" w:color="000000"/>
              <w:right w:val="single" w:sz="4" w:space="0" w:color="000000"/>
            </w:tcBorders>
            <w:hideMark/>
          </w:tcPr>
          <w:p w14:paraId="4D382A59" w14:textId="77777777" w:rsidR="00421861" w:rsidRPr="00B02BD1" w:rsidRDefault="00421861" w:rsidP="008818E0">
            <w:pPr>
              <w:pStyle w:val="Default"/>
              <w:contextualSpacing/>
              <w:jc w:val="both"/>
              <w:rPr>
                <w:sz w:val="16"/>
                <w:szCs w:val="20"/>
                <w:highlight w:val="yellow"/>
              </w:rPr>
            </w:pPr>
            <w:r w:rsidRPr="00B02BD1">
              <w:rPr>
                <w:sz w:val="16"/>
                <w:szCs w:val="20"/>
                <w:highlight w:val="yellow"/>
              </w:rPr>
              <w:t xml:space="preserve">Integral to the base product or optional accessory </w:t>
            </w:r>
          </w:p>
        </w:tc>
        <w:tc>
          <w:tcPr>
            <w:tcW w:w="2869" w:type="dxa"/>
            <w:tcBorders>
              <w:top w:val="single" w:sz="4" w:space="0" w:color="000000"/>
              <w:left w:val="single" w:sz="4" w:space="0" w:color="000000"/>
              <w:bottom w:val="single" w:sz="4" w:space="0" w:color="000000"/>
              <w:right w:val="single" w:sz="4" w:space="0" w:color="000000"/>
            </w:tcBorders>
            <w:hideMark/>
          </w:tcPr>
          <w:p w14:paraId="7EBD75B0" w14:textId="77777777" w:rsidR="00421861" w:rsidRPr="00B02BD1" w:rsidRDefault="00421861" w:rsidP="008818E0">
            <w:pPr>
              <w:pStyle w:val="Default"/>
              <w:contextualSpacing/>
              <w:jc w:val="both"/>
              <w:rPr>
                <w:sz w:val="16"/>
                <w:szCs w:val="20"/>
                <w:highlight w:val="yellow"/>
              </w:rPr>
            </w:pPr>
            <w:r w:rsidRPr="00B02BD1">
              <w:rPr>
                <w:sz w:val="16"/>
                <w:szCs w:val="20"/>
                <w:highlight w:val="yellow"/>
              </w:rPr>
              <w:t>At discretion of either the user or manufacturer</w:t>
            </w:r>
          </w:p>
        </w:tc>
      </w:tr>
      <w:tr w:rsidR="00421861" w:rsidRPr="00421861" w14:paraId="6691908B" w14:textId="77777777" w:rsidTr="00B02BD1">
        <w:trPr>
          <w:trHeight w:val="135"/>
        </w:trPr>
        <w:tc>
          <w:tcPr>
            <w:tcW w:w="2943" w:type="dxa"/>
            <w:tcBorders>
              <w:top w:val="single" w:sz="4" w:space="0" w:color="000000"/>
              <w:left w:val="single" w:sz="4" w:space="0" w:color="000000"/>
              <w:bottom w:val="single" w:sz="6" w:space="0" w:color="000000"/>
              <w:right w:val="single" w:sz="4" w:space="0" w:color="000000"/>
            </w:tcBorders>
            <w:vAlign w:val="center"/>
            <w:hideMark/>
          </w:tcPr>
          <w:p w14:paraId="7F9F1E5A" w14:textId="77777777" w:rsidR="00421861" w:rsidRPr="00B02BD1" w:rsidRDefault="00421861" w:rsidP="008818E0">
            <w:pPr>
              <w:pStyle w:val="Default"/>
              <w:contextualSpacing/>
              <w:jc w:val="both"/>
              <w:rPr>
                <w:sz w:val="16"/>
                <w:szCs w:val="20"/>
                <w:highlight w:val="yellow"/>
              </w:rPr>
            </w:pPr>
            <w:r w:rsidRPr="00B02BD1">
              <w:rPr>
                <w:i/>
                <w:iCs/>
                <w:sz w:val="16"/>
                <w:szCs w:val="20"/>
                <w:highlight w:val="yellow"/>
              </w:rPr>
              <w:t xml:space="preserve">s ≥ </w:t>
            </w:r>
            <w:r w:rsidRPr="00B02BD1">
              <w:rPr>
                <w:sz w:val="16"/>
                <w:szCs w:val="20"/>
                <w:highlight w:val="yellow"/>
              </w:rPr>
              <w:t xml:space="preserve">37 </w:t>
            </w:r>
          </w:p>
        </w:tc>
        <w:tc>
          <w:tcPr>
            <w:tcW w:w="3010" w:type="dxa"/>
            <w:tcBorders>
              <w:top w:val="single" w:sz="4" w:space="0" w:color="000000"/>
              <w:left w:val="single" w:sz="4" w:space="0" w:color="000000"/>
              <w:bottom w:val="single" w:sz="6" w:space="0" w:color="000000"/>
              <w:right w:val="single" w:sz="4" w:space="0" w:color="000000"/>
            </w:tcBorders>
            <w:vAlign w:val="center"/>
            <w:hideMark/>
          </w:tcPr>
          <w:p w14:paraId="165C6FDD" w14:textId="77777777" w:rsidR="00421861" w:rsidRPr="00B02BD1" w:rsidRDefault="00421861" w:rsidP="008818E0">
            <w:pPr>
              <w:pStyle w:val="Default"/>
              <w:contextualSpacing/>
              <w:jc w:val="both"/>
              <w:rPr>
                <w:sz w:val="16"/>
                <w:szCs w:val="20"/>
                <w:highlight w:val="yellow"/>
              </w:rPr>
            </w:pPr>
            <w:r w:rsidRPr="00B02BD1">
              <w:rPr>
                <w:sz w:val="16"/>
                <w:szCs w:val="20"/>
                <w:highlight w:val="yellow"/>
              </w:rPr>
              <w:t xml:space="preserve">Integral to the base product </w:t>
            </w:r>
          </w:p>
        </w:tc>
        <w:tc>
          <w:tcPr>
            <w:tcW w:w="2869" w:type="dxa"/>
            <w:tcBorders>
              <w:top w:val="single" w:sz="4" w:space="0" w:color="000000"/>
              <w:left w:val="single" w:sz="4" w:space="0" w:color="000000"/>
              <w:bottom w:val="single" w:sz="6" w:space="0" w:color="000000"/>
              <w:right w:val="single" w:sz="4" w:space="0" w:color="000000"/>
            </w:tcBorders>
            <w:hideMark/>
          </w:tcPr>
          <w:p w14:paraId="733C2CDA" w14:textId="77777777" w:rsidR="00421861" w:rsidRPr="00B02BD1" w:rsidRDefault="00421861" w:rsidP="008818E0">
            <w:pPr>
              <w:pStyle w:val="Default"/>
              <w:contextualSpacing/>
              <w:jc w:val="both"/>
              <w:rPr>
                <w:sz w:val="16"/>
                <w:szCs w:val="20"/>
                <w:highlight w:val="yellow"/>
              </w:rPr>
            </w:pPr>
            <w:r w:rsidRPr="00B02BD1">
              <w:rPr>
                <w:sz w:val="16"/>
                <w:szCs w:val="20"/>
                <w:highlight w:val="yellow"/>
              </w:rPr>
              <w:t>Required</w:t>
            </w:r>
          </w:p>
        </w:tc>
      </w:tr>
    </w:tbl>
    <w:p w14:paraId="3E140A77" w14:textId="77777777" w:rsidR="00A47882" w:rsidRDefault="00A47882" w:rsidP="008818E0">
      <w:pPr>
        <w:pStyle w:val="Heading2"/>
        <w:numPr>
          <w:ilvl w:val="0"/>
          <w:numId w:val="0"/>
        </w:numPr>
        <w:spacing w:before="0" w:after="0"/>
        <w:ind w:left="936"/>
        <w:contextualSpacing/>
        <w:jc w:val="both"/>
      </w:pPr>
      <w:bookmarkStart w:id="62" w:name="_Toc375308104"/>
    </w:p>
    <w:p w14:paraId="79630D51" w14:textId="77777777" w:rsidR="00247FA5" w:rsidRDefault="004B0E27" w:rsidP="008818E0">
      <w:pPr>
        <w:pStyle w:val="Heading2"/>
        <w:spacing w:before="0" w:after="0"/>
        <w:contextualSpacing/>
        <w:jc w:val="both"/>
      </w:pPr>
      <w:bookmarkStart w:id="63" w:name="_Toc375572512"/>
      <w:r w:rsidRPr="00DD6460">
        <w:t>TEC products whose intended function is to print on special single-sided media for the purpose of single sided printing (e.g. release coated paper for labels, direct thermal media, etc.) are exempt from th</w:t>
      </w:r>
      <w:r>
        <w:t>e duplex</w:t>
      </w:r>
      <w:r w:rsidRPr="00DD6460">
        <w:t xml:space="preserve"> requirement</w:t>
      </w:r>
      <w:r>
        <w:t>s</w:t>
      </w:r>
      <w:r w:rsidRPr="00DD6460">
        <w:t>.</w:t>
      </w:r>
      <w:bookmarkEnd w:id="62"/>
      <w:bookmarkEnd w:id="63"/>
    </w:p>
    <w:p w14:paraId="21E24DDA" w14:textId="77777777" w:rsidR="00A47882" w:rsidRPr="00A47882" w:rsidRDefault="00A47882" w:rsidP="008818E0">
      <w:pPr>
        <w:jc w:val="both"/>
      </w:pPr>
    </w:p>
    <w:p w14:paraId="2B91EB8F" w14:textId="77777777" w:rsidR="00A90075" w:rsidRPr="00A90075" w:rsidRDefault="00A90075" w:rsidP="008818E0">
      <w:pPr>
        <w:contextualSpacing/>
        <w:jc w:val="both"/>
      </w:pPr>
    </w:p>
    <w:p w14:paraId="6802E10C" w14:textId="77777777" w:rsidR="00247FA5" w:rsidRDefault="00ED300D" w:rsidP="008818E0">
      <w:pPr>
        <w:pStyle w:val="Heading1"/>
        <w:spacing w:before="0" w:after="0"/>
        <w:contextualSpacing/>
        <w:jc w:val="both"/>
      </w:pPr>
      <w:bookmarkStart w:id="64" w:name="_Toc375572513"/>
      <w:r w:rsidRPr="00B02BD1">
        <w:rPr>
          <w:highlight w:val="yellow"/>
        </w:rPr>
        <w:t xml:space="preserve">Commitments </w:t>
      </w:r>
      <w:r w:rsidR="00377E15">
        <w:rPr>
          <w:highlight w:val="yellow"/>
        </w:rPr>
        <w:t>P</w:t>
      </w:r>
      <w:r w:rsidR="00377E15" w:rsidRPr="00B02BD1">
        <w:rPr>
          <w:highlight w:val="yellow"/>
        </w:rPr>
        <w:t xml:space="preserve">art </w:t>
      </w:r>
      <w:r w:rsidRPr="00B02BD1">
        <w:rPr>
          <w:highlight w:val="yellow"/>
        </w:rPr>
        <w:t xml:space="preserve">II – Other </w:t>
      </w:r>
      <w:r w:rsidR="00377E15">
        <w:rPr>
          <w:highlight w:val="yellow"/>
        </w:rPr>
        <w:t>R</w:t>
      </w:r>
      <w:r w:rsidR="00377E15" w:rsidRPr="00B02BD1">
        <w:rPr>
          <w:highlight w:val="yellow"/>
        </w:rPr>
        <w:t>esource</w:t>
      </w:r>
      <w:r w:rsidR="00377E15">
        <w:rPr>
          <w:highlight w:val="yellow"/>
        </w:rPr>
        <w:t xml:space="preserve"> E</w:t>
      </w:r>
      <w:r w:rsidR="00377E15" w:rsidRPr="00B02BD1">
        <w:rPr>
          <w:highlight w:val="yellow"/>
        </w:rPr>
        <w:t xml:space="preserve">fficiency </w:t>
      </w:r>
      <w:r w:rsidR="00377E15">
        <w:rPr>
          <w:highlight w:val="yellow"/>
        </w:rPr>
        <w:t>R</w:t>
      </w:r>
      <w:r w:rsidR="00377E15" w:rsidRPr="00B02BD1">
        <w:rPr>
          <w:highlight w:val="yellow"/>
        </w:rPr>
        <w:t>equirements</w:t>
      </w:r>
      <w:bookmarkEnd w:id="64"/>
    </w:p>
    <w:p w14:paraId="5CE42F6F" w14:textId="77777777" w:rsidR="0044253A" w:rsidRPr="0044253A" w:rsidRDefault="0044253A" w:rsidP="008818E0">
      <w:pPr>
        <w:jc w:val="both"/>
      </w:pPr>
    </w:p>
    <w:p w14:paraId="518076AE" w14:textId="77777777" w:rsidR="00247FA5" w:rsidRDefault="002F7C11" w:rsidP="008818E0">
      <w:pPr>
        <w:pStyle w:val="Heading2"/>
        <w:spacing w:before="0" w:after="0"/>
        <w:contextualSpacing/>
        <w:jc w:val="both"/>
        <w:rPr>
          <w:b/>
        </w:rPr>
      </w:pPr>
      <w:bookmarkStart w:id="65" w:name="_Toc375308107"/>
      <w:bookmarkStart w:id="66" w:name="_Toc375572514"/>
      <w:r w:rsidRPr="00247FA5">
        <w:rPr>
          <w:b/>
        </w:rPr>
        <w:t>Availability of N-up printing</w:t>
      </w:r>
      <w:bookmarkEnd w:id="65"/>
      <w:bookmarkEnd w:id="66"/>
    </w:p>
    <w:p w14:paraId="38FCA5F1" w14:textId="77777777" w:rsidR="0044253A" w:rsidRPr="0044253A" w:rsidRDefault="0044253A" w:rsidP="008818E0">
      <w:pPr>
        <w:jc w:val="both"/>
      </w:pPr>
    </w:p>
    <w:p w14:paraId="154C70D8" w14:textId="3091B86E" w:rsidR="006A30E5" w:rsidRDefault="00ED42DF" w:rsidP="008818E0">
      <w:pPr>
        <w:pStyle w:val="Heading2"/>
        <w:numPr>
          <w:ilvl w:val="0"/>
          <w:numId w:val="0"/>
        </w:numPr>
        <w:spacing w:before="0" w:after="0"/>
        <w:ind w:left="360"/>
        <w:contextualSpacing/>
        <w:jc w:val="both"/>
        <w:rPr>
          <w:bCs w:val="0"/>
          <w:iCs w:val="0"/>
          <w:lang w:eastAsia="fr-FR"/>
        </w:rPr>
      </w:pPr>
      <w:bookmarkStart w:id="67" w:name="_Toc375308108"/>
      <w:bookmarkStart w:id="68" w:name="_Toc375572515"/>
      <w:r w:rsidRPr="00247FA5">
        <w:t>All products placed on the market after 1 January 2012 offer as a standard feature the capability to print several pages of a document on one sheet of paper</w:t>
      </w:r>
      <w:r w:rsidR="00E97109" w:rsidRPr="00247FA5">
        <w:t xml:space="preserve">, when the product is managed by </w:t>
      </w:r>
      <w:r w:rsidR="00346181" w:rsidRPr="00247FA5">
        <w:t>original</w:t>
      </w:r>
      <w:r w:rsidR="00E97109" w:rsidRPr="00247FA5">
        <w:t xml:space="preserve"> software provided by the manufacturer (printer driver)</w:t>
      </w:r>
      <w:r w:rsidRPr="00247FA5">
        <w:t>.</w:t>
      </w:r>
      <w:r w:rsidR="006A30E5" w:rsidRPr="00B51594">
        <w:rPr>
          <w:bCs w:val="0"/>
          <w:iCs w:val="0"/>
          <w:lang w:eastAsia="fr-FR"/>
        </w:rPr>
        <w:t xml:space="preserve"> </w:t>
      </w:r>
      <w:r w:rsidR="006A30E5" w:rsidRPr="00E802E4">
        <w:rPr>
          <w:bCs w:val="0"/>
          <w:iCs w:val="0"/>
          <w:highlight w:val="yellow"/>
          <w:lang w:eastAsia="fr-FR"/>
        </w:rPr>
        <w:t>A model is considered Part II qualified when it meets all the requirements as detailed in section 5.</w:t>
      </w:r>
      <w:bookmarkEnd w:id="67"/>
      <w:bookmarkEnd w:id="68"/>
      <w:r w:rsidR="006A30E5" w:rsidRPr="00E802E4">
        <w:rPr>
          <w:bCs w:val="0"/>
          <w:iCs w:val="0"/>
          <w:highlight w:val="yellow"/>
          <w:lang w:eastAsia="fr-FR"/>
        </w:rPr>
        <w:t xml:space="preserve"> </w:t>
      </w:r>
    </w:p>
    <w:p w14:paraId="4F76E89D" w14:textId="77777777" w:rsidR="0044253A" w:rsidRPr="0044253A" w:rsidRDefault="0044253A" w:rsidP="008818E0">
      <w:pPr>
        <w:jc w:val="both"/>
        <w:rPr>
          <w:lang w:eastAsia="fr-FR"/>
        </w:rPr>
      </w:pPr>
    </w:p>
    <w:p w14:paraId="1E6FA27E" w14:textId="77777777" w:rsidR="00EA0EC6" w:rsidRDefault="00377E15" w:rsidP="008818E0">
      <w:pPr>
        <w:pStyle w:val="Heading2"/>
        <w:numPr>
          <w:ilvl w:val="0"/>
          <w:numId w:val="0"/>
        </w:numPr>
        <w:spacing w:before="0" w:after="0"/>
        <w:ind w:left="936" w:hanging="576"/>
        <w:contextualSpacing/>
        <w:jc w:val="both"/>
        <w:rPr>
          <w:b/>
        </w:rPr>
      </w:pPr>
      <w:bookmarkStart w:id="69" w:name="_Toc375308109"/>
      <w:bookmarkStart w:id="70" w:name="_Toc375572516"/>
      <w:bookmarkStart w:id="71" w:name="OLE_LINK1"/>
      <w:bookmarkStart w:id="72" w:name="OLE_LINK2"/>
      <w:r>
        <w:rPr>
          <w:b/>
        </w:rPr>
        <w:t xml:space="preserve">5.2 </w:t>
      </w:r>
      <w:r w:rsidR="00ED42DF" w:rsidRPr="00247FA5">
        <w:rPr>
          <w:b/>
        </w:rPr>
        <w:t>Design for recycling</w:t>
      </w:r>
      <w:bookmarkEnd w:id="69"/>
      <w:bookmarkEnd w:id="70"/>
    </w:p>
    <w:p w14:paraId="3BB97851" w14:textId="77777777" w:rsidR="00097A88" w:rsidRPr="00097A88" w:rsidRDefault="00097A88" w:rsidP="008818E0">
      <w:pPr>
        <w:contextualSpacing/>
        <w:jc w:val="both"/>
      </w:pPr>
    </w:p>
    <w:p w14:paraId="77D2F287" w14:textId="77777777" w:rsidR="00CB7E68" w:rsidRDefault="002566BE" w:rsidP="008818E0">
      <w:pPr>
        <w:tabs>
          <w:tab w:val="left" w:pos="2160"/>
        </w:tabs>
        <w:ind w:left="426"/>
        <w:contextualSpacing/>
        <w:jc w:val="both"/>
      </w:pPr>
      <w:r w:rsidRPr="00CD5A46">
        <w:t xml:space="preserve">For all </w:t>
      </w:r>
      <w:r w:rsidR="00E00B8F" w:rsidRPr="00CD5A46">
        <w:t xml:space="preserve">new </w:t>
      </w:r>
      <w:r w:rsidR="00593794" w:rsidRPr="00CD5A46">
        <w:t xml:space="preserve">product </w:t>
      </w:r>
      <w:r w:rsidR="00E00B8F" w:rsidRPr="00CD5A46">
        <w:t>models introduced</w:t>
      </w:r>
      <w:r w:rsidRPr="00CD5A46">
        <w:t xml:space="preserve"> after 1 January 2012</w:t>
      </w:r>
      <w:r w:rsidR="00B1179F" w:rsidRPr="00CD5A46">
        <w:t>:</w:t>
      </w:r>
      <w:bookmarkStart w:id="73" w:name="_Toc375308110"/>
    </w:p>
    <w:p w14:paraId="44CA384C" w14:textId="77777777" w:rsidR="00CB7E68" w:rsidRDefault="00CB7E68" w:rsidP="008818E0">
      <w:pPr>
        <w:tabs>
          <w:tab w:val="left" w:pos="2160"/>
        </w:tabs>
        <w:ind w:left="576"/>
        <w:contextualSpacing/>
        <w:jc w:val="both"/>
      </w:pPr>
    </w:p>
    <w:p w14:paraId="1C48E71E" w14:textId="77777777" w:rsidR="00CB7E68" w:rsidRPr="00CB7E68" w:rsidRDefault="002566BE" w:rsidP="008818E0">
      <w:pPr>
        <w:pStyle w:val="ListParagraph"/>
        <w:numPr>
          <w:ilvl w:val="0"/>
          <w:numId w:val="25"/>
        </w:numPr>
        <w:tabs>
          <w:tab w:val="left" w:pos="2160"/>
        </w:tabs>
        <w:ind w:left="1080"/>
        <w:jc w:val="both"/>
        <w:rPr>
          <w:rFonts w:ascii="Arial" w:hAnsi="Arial" w:cs="Arial"/>
          <w:sz w:val="20"/>
          <w:szCs w:val="20"/>
        </w:rPr>
      </w:pPr>
      <w:r w:rsidRPr="00CB7E68">
        <w:rPr>
          <w:rFonts w:ascii="Arial" w:hAnsi="Arial" w:cs="Arial"/>
          <w:sz w:val="20"/>
          <w:szCs w:val="20"/>
        </w:rPr>
        <w:t>Plastic parts &gt;</w:t>
      </w:r>
      <w:r w:rsidR="005719CA" w:rsidRPr="00CB7E68">
        <w:rPr>
          <w:rFonts w:ascii="Arial" w:hAnsi="Arial" w:cs="Arial"/>
          <w:sz w:val="20"/>
          <w:szCs w:val="20"/>
        </w:rPr>
        <w:t>100 g</w:t>
      </w:r>
      <w:r w:rsidRPr="00CB7E68">
        <w:rPr>
          <w:rFonts w:ascii="Arial" w:hAnsi="Arial" w:cs="Arial"/>
          <w:sz w:val="20"/>
          <w:szCs w:val="20"/>
        </w:rPr>
        <w:t xml:space="preserve"> shall be manually separable into recyclable plastic streams with commonly available tools.</w:t>
      </w:r>
      <w:bookmarkStart w:id="74" w:name="_Toc375308111"/>
      <w:bookmarkEnd w:id="73"/>
    </w:p>
    <w:p w14:paraId="5EF07926" w14:textId="77777777" w:rsidR="00CB7E68" w:rsidRPr="00CB7E68" w:rsidRDefault="00CB7E68" w:rsidP="008818E0">
      <w:pPr>
        <w:tabs>
          <w:tab w:val="left" w:pos="2160"/>
        </w:tabs>
        <w:ind w:left="360"/>
        <w:contextualSpacing/>
        <w:jc w:val="both"/>
      </w:pPr>
    </w:p>
    <w:p w14:paraId="04BB2DAC" w14:textId="77777777" w:rsidR="00CB7E68" w:rsidRPr="00CB7E68" w:rsidRDefault="005F0ABC" w:rsidP="008818E0">
      <w:pPr>
        <w:pStyle w:val="ListParagraph"/>
        <w:numPr>
          <w:ilvl w:val="0"/>
          <w:numId w:val="25"/>
        </w:numPr>
        <w:tabs>
          <w:tab w:val="left" w:pos="2160"/>
        </w:tabs>
        <w:ind w:left="1080"/>
        <w:jc w:val="both"/>
        <w:rPr>
          <w:rFonts w:ascii="Arial" w:hAnsi="Arial" w:cs="Arial"/>
          <w:sz w:val="20"/>
          <w:szCs w:val="20"/>
        </w:rPr>
      </w:pPr>
      <w:r w:rsidRPr="00CB7E68">
        <w:rPr>
          <w:rFonts w:ascii="Arial" w:hAnsi="Arial" w:cs="Arial"/>
          <w:sz w:val="20"/>
          <w:szCs w:val="20"/>
        </w:rPr>
        <w:t>Product shall utilize commonly used fasteners for joining components,</w:t>
      </w:r>
      <w:r w:rsidR="00FE3B8F" w:rsidRPr="00CB7E68">
        <w:rPr>
          <w:rFonts w:ascii="Arial" w:hAnsi="Arial" w:cs="Arial"/>
          <w:sz w:val="20"/>
          <w:szCs w:val="20"/>
        </w:rPr>
        <w:t xml:space="preserve"> </w:t>
      </w:r>
      <w:r w:rsidRPr="00CB7E68">
        <w:rPr>
          <w:rFonts w:ascii="Arial" w:hAnsi="Arial" w:cs="Arial"/>
          <w:sz w:val="20"/>
          <w:szCs w:val="20"/>
        </w:rPr>
        <w:t>subassemblies, chassis and enclosures.</w:t>
      </w:r>
      <w:bookmarkStart w:id="75" w:name="_Toc375308112"/>
      <w:bookmarkEnd w:id="74"/>
    </w:p>
    <w:p w14:paraId="25E9D4B7" w14:textId="77777777" w:rsidR="00CB7E68" w:rsidRPr="00CB7E68" w:rsidRDefault="00CB7E68" w:rsidP="008818E0">
      <w:pPr>
        <w:tabs>
          <w:tab w:val="left" w:pos="2160"/>
        </w:tabs>
        <w:ind w:left="360"/>
        <w:contextualSpacing/>
        <w:jc w:val="both"/>
      </w:pPr>
    </w:p>
    <w:p w14:paraId="224FD80C" w14:textId="77777777" w:rsidR="00CB7E68" w:rsidRPr="00CB7E68" w:rsidRDefault="00FE3B8F" w:rsidP="008818E0">
      <w:pPr>
        <w:pStyle w:val="ListParagraph"/>
        <w:numPr>
          <w:ilvl w:val="0"/>
          <w:numId w:val="25"/>
        </w:numPr>
        <w:tabs>
          <w:tab w:val="left" w:pos="2160"/>
        </w:tabs>
        <w:ind w:left="1080"/>
        <w:jc w:val="both"/>
        <w:rPr>
          <w:rFonts w:ascii="Arial" w:hAnsi="Arial" w:cs="Arial"/>
          <w:sz w:val="20"/>
          <w:szCs w:val="20"/>
        </w:rPr>
      </w:pPr>
      <w:r w:rsidRPr="00CB7E68">
        <w:rPr>
          <w:rFonts w:ascii="Arial" w:hAnsi="Arial" w:cs="Arial"/>
          <w:sz w:val="20"/>
          <w:szCs w:val="20"/>
        </w:rPr>
        <w:t>Non-separable connections (e.g. glued, welded) between different materials shall be avoided unless they are technically or legally required.</w:t>
      </w:r>
      <w:bookmarkStart w:id="76" w:name="_Toc375308113"/>
      <w:bookmarkEnd w:id="75"/>
    </w:p>
    <w:p w14:paraId="2295F15B" w14:textId="77777777" w:rsidR="00CB7E68" w:rsidRPr="00CB7E68" w:rsidRDefault="00CB7E68" w:rsidP="008818E0">
      <w:pPr>
        <w:tabs>
          <w:tab w:val="left" w:pos="2160"/>
        </w:tabs>
        <w:ind w:left="360"/>
        <w:contextualSpacing/>
        <w:jc w:val="both"/>
      </w:pPr>
    </w:p>
    <w:p w14:paraId="2CA0081A" w14:textId="77777777" w:rsidR="00CB7E68" w:rsidRPr="00CB7E68" w:rsidRDefault="00EE4971" w:rsidP="008818E0">
      <w:pPr>
        <w:pStyle w:val="ListParagraph"/>
        <w:numPr>
          <w:ilvl w:val="0"/>
          <w:numId w:val="25"/>
        </w:numPr>
        <w:tabs>
          <w:tab w:val="left" w:pos="2160"/>
        </w:tabs>
        <w:ind w:left="1080"/>
        <w:jc w:val="both"/>
        <w:rPr>
          <w:rFonts w:ascii="Arial" w:hAnsi="Arial" w:cs="Arial"/>
        </w:rPr>
      </w:pPr>
      <w:r w:rsidRPr="00CB7E68">
        <w:rPr>
          <w:rFonts w:ascii="Arial" w:hAnsi="Arial" w:cs="Arial"/>
          <w:sz w:val="20"/>
          <w:szCs w:val="20"/>
        </w:rPr>
        <w:t xml:space="preserve">Product </w:t>
      </w:r>
      <w:r w:rsidR="00FE3B8F" w:rsidRPr="00CB7E68">
        <w:rPr>
          <w:rFonts w:ascii="Arial" w:hAnsi="Arial" w:cs="Arial"/>
          <w:sz w:val="20"/>
          <w:szCs w:val="20"/>
        </w:rPr>
        <w:t>plastics shall be marked by material type (ISO 11469 referring ISO 1043, resin identification code, SPI, DIN, or country specific).</w:t>
      </w:r>
      <w:r w:rsidR="00073090" w:rsidRPr="00CB7E68">
        <w:rPr>
          <w:rFonts w:ascii="Arial" w:hAnsi="Arial" w:cs="Arial"/>
          <w:sz w:val="20"/>
          <w:szCs w:val="20"/>
        </w:rPr>
        <w:t xml:space="preserve"> </w:t>
      </w:r>
      <w:r w:rsidR="00FE3B8F" w:rsidRPr="00CB7E68">
        <w:rPr>
          <w:rFonts w:ascii="Arial" w:hAnsi="Arial" w:cs="Arial"/>
          <w:sz w:val="20"/>
          <w:szCs w:val="20"/>
        </w:rPr>
        <w:t xml:space="preserve">Marking requirement does not apply to plastic parts weighing less than </w:t>
      </w:r>
      <w:r w:rsidR="005719CA" w:rsidRPr="00CB7E68">
        <w:rPr>
          <w:rFonts w:ascii="Arial" w:hAnsi="Arial" w:cs="Arial"/>
          <w:sz w:val="20"/>
          <w:szCs w:val="20"/>
        </w:rPr>
        <w:t>25</w:t>
      </w:r>
      <w:r w:rsidR="00B12FDF" w:rsidRPr="00CB7E68">
        <w:rPr>
          <w:rFonts w:ascii="Arial" w:hAnsi="Arial" w:cs="Arial"/>
          <w:sz w:val="20"/>
          <w:szCs w:val="20"/>
        </w:rPr>
        <w:t xml:space="preserve"> </w:t>
      </w:r>
      <w:r w:rsidR="005719CA" w:rsidRPr="00CB7E68">
        <w:rPr>
          <w:rFonts w:ascii="Arial" w:hAnsi="Arial" w:cs="Arial"/>
          <w:sz w:val="20"/>
          <w:szCs w:val="20"/>
        </w:rPr>
        <w:t>g</w:t>
      </w:r>
      <w:r w:rsidR="00FE3B8F" w:rsidRPr="00CB7E68">
        <w:rPr>
          <w:rFonts w:ascii="Arial" w:hAnsi="Arial" w:cs="Arial"/>
          <w:sz w:val="20"/>
          <w:szCs w:val="20"/>
        </w:rPr>
        <w:t xml:space="preserve"> or with surface area less than 50 cm</w:t>
      </w:r>
      <w:r w:rsidR="00B1179F" w:rsidRPr="00CB7E68">
        <w:rPr>
          <w:rFonts w:ascii="Arial" w:hAnsi="Arial" w:cs="Arial"/>
          <w:sz w:val="20"/>
          <w:szCs w:val="20"/>
        </w:rPr>
        <w:t>²</w:t>
      </w:r>
      <w:r w:rsidR="00FE3B8F" w:rsidRPr="00CB7E68">
        <w:rPr>
          <w:rFonts w:ascii="Arial" w:hAnsi="Arial" w:cs="Arial"/>
          <w:sz w:val="20"/>
          <w:szCs w:val="20"/>
        </w:rPr>
        <w:t>; tape; plastic protective and stretch wraps and labels; or plastic pieces when due to shape marking is not possible.</w:t>
      </w:r>
      <w:r w:rsidR="00ED7430" w:rsidRPr="00CB7E68">
        <w:rPr>
          <w:rFonts w:ascii="Arial" w:hAnsi="Arial" w:cs="Arial"/>
          <w:sz w:val="20"/>
          <w:szCs w:val="20"/>
        </w:rPr>
        <w:t xml:space="preserve"> Exempted are plastic parts contained in reused complex modules</w:t>
      </w:r>
      <w:r w:rsidR="0045454E" w:rsidRPr="00CB7E68">
        <w:rPr>
          <w:rFonts w:ascii="Arial" w:hAnsi="Arial" w:cs="Arial"/>
          <w:sz w:val="20"/>
          <w:szCs w:val="20"/>
        </w:rPr>
        <w:t>.</w:t>
      </w:r>
      <w:bookmarkStart w:id="77" w:name="_Toc375308114"/>
      <w:bookmarkEnd w:id="76"/>
    </w:p>
    <w:p w14:paraId="125AC11C" w14:textId="77777777" w:rsidR="00CB7E68" w:rsidRDefault="00CB7E68" w:rsidP="008818E0">
      <w:pPr>
        <w:tabs>
          <w:tab w:val="left" w:pos="2160"/>
        </w:tabs>
        <w:ind w:left="576"/>
        <w:contextualSpacing/>
        <w:jc w:val="both"/>
      </w:pPr>
    </w:p>
    <w:p w14:paraId="2A31AD14" w14:textId="12639BC0" w:rsidR="00A23A54" w:rsidRDefault="00A23A54" w:rsidP="008818E0">
      <w:pPr>
        <w:tabs>
          <w:tab w:val="left" w:pos="2160"/>
        </w:tabs>
        <w:ind w:left="576"/>
        <w:contextualSpacing/>
        <w:jc w:val="both"/>
        <w:rPr>
          <w:lang w:eastAsia="fr-FR"/>
        </w:rPr>
      </w:pPr>
      <w:r w:rsidRPr="00E845DA">
        <w:rPr>
          <w:lang w:eastAsia="fr-FR"/>
        </w:rPr>
        <w:t>An exemption from the criteria in section</w:t>
      </w:r>
      <w:r>
        <w:rPr>
          <w:lang w:eastAsia="fr-FR"/>
        </w:rPr>
        <w:t>s</w:t>
      </w:r>
      <w:r w:rsidRPr="00E845DA">
        <w:rPr>
          <w:lang w:eastAsia="fr-FR"/>
        </w:rPr>
        <w:t xml:space="preserve"> </w:t>
      </w:r>
      <w:r w:rsidRPr="00B94489">
        <w:rPr>
          <w:highlight w:val="yellow"/>
          <w:lang w:eastAsia="fr-FR"/>
        </w:rPr>
        <w:t>5.1 and 5.2</w:t>
      </w:r>
      <w:r w:rsidRPr="00E845DA">
        <w:rPr>
          <w:lang w:eastAsia="fr-FR"/>
        </w:rPr>
        <w:t xml:space="preserve"> will be acceptable for models that are sold in small numbers (less than 5,000 units per year), on the ground that the cost of implementing the criteria is disproportionate to the sales of the product. Exceptions should be reported to the Independent Inspector (see Annex C for reporting template).</w:t>
      </w:r>
      <w:bookmarkEnd w:id="77"/>
    </w:p>
    <w:p w14:paraId="1FC6B59D" w14:textId="77777777" w:rsidR="0044253A" w:rsidRDefault="0044253A" w:rsidP="008818E0">
      <w:pPr>
        <w:tabs>
          <w:tab w:val="left" w:pos="2160"/>
        </w:tabs>
        <w:ind w:left="576"/>
        <w:contextualSpacing/>
        <w:jc w:val="both"/>
        <w:rPr>
          <w:lang w:eastAsia="fr-FR"/>
        </w:rPr>
      </w:pPr>
    </w:p>
    <w:p w14:paraId="3D791DAE" w14:textId="77777777" w:rsidR="00F938FB" w:rsidRDefault="00F938FB" w:rsidP="008818E0">
      <w:pPr>
        <w:tabs>
          <w:tab w:val="left" w:pos="2160"/>
        </w:tabs>
        <w:ind w:left="576"/>
        <w:contextualSpacing/>
        <w:jc w:val="both"/>
        <w:rPr>
          <w:lang w:eastAsia="fr-FR"/>
        </w:rPr>
      </w:pPr>
    </w:p>
    <w:p w14:paraId="6A74803D" w14:textId="77777777" w:rsidR="00F938FB" w:rsidRDefault="00F938FB" w:rsidP="008818E0">
      <w:pPr>
        <w:tabs>
          <w:tab w:val="left" w:pos="2160"/>
        </w:tabs>
        <w:ind w:left="576"/>
        <w:contextualSpacing/>
        <w:jc w:val="both"/>
        <w:rPr>
          <w:lang w:eastAsia="fr-FR"/>
        </w:rPr>
      </w:pPr>
    </w:p>
    <w:p w14:paraId="731C479A" w14:textId="705AC992" w:rsidR="00377E15" w:rsidRPr="000159D0" w:rsidRDefault="009867D6" w:rsidP="008818E0">
      <w:pPr>
        <w:pStyle w:val="Heading2"/>
        <w:numPr>
          <w:ilvl w:val="1"/>
          <w:numId w:val="27"/>
        </w:numPr>
        <w:jc w:val="both"/>
        <w:rPr>
          <w:b/>
          <w:highlight w:val="yellow"/>
        </w:rPr>
      </w:pPr>
      <w:bookmarkStart w:id="78" w:name="_Toc375308115"/>
      <w:bookmarkStart w:id="79" w:name="_Toc375572517"/>
      <w:r w:rsidRPr="000159D0">
        <w:rPr>
          <w:b/>
          <w:highlight w:val="yellow"/>
        </w:rPr>
        <w:lastRenderedPageBreak/>
        <w:t>Polymer composition</w:t>
      </w:r>
      <w:bookmarkEnd w:id="78"/>
      <w:bookmarkEnd w:id="79"/>
    </w:p>
    <w:p w14:paraId="561C6916" w14:textId="77777777" w:rsidR="000159D0" w:rsidRPr="000159D0" w:rsidRDefault="000159D0" w:rsidP="008818E0">
      <w:pPr>
        <w:jc w:val="both"/>
        <w:rPr>
          <w:highlight w:val="yellow"/>
        </w:rPr>
      </w:pPr>
    </w:p>
    <w:p w14:paraId="1EF3E046" w14:textId="12E2135B" w:rsidR="00EA0EC6" w:rsidRDefault="008E725D" w:rsidP="008818E0">
      <w:pPr>
        <w:pStyle w:val="Heading2"/>
        <w:numPr>
          <w:ilvl w:val="0"/>
          <w:numId w:val="0"/>
        </w:numPr>
        <w:spacing w:before="0" w:after="0"/>
        <w:ind w:left="936" w:hanging="576"/>
        <w:contextualSpacing/>
        <w:jc w:val="both"/>
        <w:rPr>
          <w:highlight w:val="yellow"/>
        </w:rPr>
      </w:pPr>
      <w:bookmarkStart w:id="80" w:name="_Toc375308116"/>
      <w:bookmarkStart w:id="81" w:name="_Toc375572518"/>
      <w:r w:rsidRPr="00247FA5">
        <w:rPr>
          <w:highlight w:val="yellow"/>
        </w:rPr>
        <w:t xml:space="preserve">For all </w:t>
      </w:r>
      <w:r w:rsidR="008A5B7E">
        <w:rPr>
          <w:highlight w:val="yellow"/>
        </w:rPr>
        <w:t xml:space="preserve">the TEC </w:t>
      </w:r>
      <w:r w:rsidRPr="00247FA5">
        <w:rPr>
          <w:highlight w:val="yellow"/>
        </w:rPr>
        <w:t>product models</w:t>
      </w:r>
      <w:r w:rsidR="008A5B7E">
        <w:rPr>
          <w:highlight w:val="yellow"/>
        </w:rPr>
        <w:t xml:space="preserve"> newly</w:t>
      </w:r>
      <w:r w:rsidRPr="00247FA5">
        <w:rPr>
          <w:highlight w:val="yellow"/>
        </w:rPr>
        <w:t xml:space="preserve"> introduced after 1 January 2014</w:t>
      </w:r>
      <w:r w:rsidR="009867D6" w:rsidRPr="00247FA5">
        <w:rPr>
          <w:highlight w:val="yellow"/>
        </w:rPr>
        <w:t>:</w:t>
      </w:r>
      <w:bookmarkEnd w:id="80"/>
      <w:bookmarkEnd w:id="81"/>
    </w:p>
    <w:p w14:paraId="10626641" w14:textId="77777777" w:rsidR="00CB0AE8" w:rsidRDefault="00CB0AE8" w:rsidP="008818E0">
      <w:pPr>
        <w:ind w:left="360"/>
        <w:contextualSpacing/>
        <w:jc w:val="both"/>
        <w:rPr>
          <w:iCs/>
          <w:highlight w:val="yellow"/>
        </w:rPr>
      </w:pPr>
    </w:p>
    <w:p w14:paraId="04BE5609" w14:textId="77777777" w:rsidR="00CB0AE8" w:rsidRDefault="008E725D" w:rsidP="008818E0">
      <w:pPr>
        <w:ind w:left="360"/>
        <w:contextualSpacing/>
        <w:jc w:val="both"/>
        <w:rPr>
          <w:iCs/>
          <w:highlight w:val="yellow"/>
        </w:rPr>
      </w:pPr>
      <w:r w:rsidRPr="00247FA5">
        <w:rPr>
          <w:iCs/>
          <w:highlight w:val="yellow"/>
        </w:rPr>
        <w:t xml:space="preserve">In order to limit the variety of materials used, plastic casing parts with a mass greater than 100 grams have to consist of one single polymer or a polymer blend. </w:t>
      </w:r>
    </w:p>
    <w:p w14:paraId="6C1E2886" w14:textId="77777777" w:rsidR="00CB0AE8" w:rsidRDefault="00CB0AE8" w:rsidP="008818E0">
      <w:pPr>
        <w:ind w:left="360"/>
        <w:contextualSpacing/>
        <w:jc w:val="both"/>
        <w:rPr>
          <w:iCs/>
          <w:highlight w:val="yellow"/>
        </w:rPr>
      </w:pPr>
    </w:p>
    <w:p w14:paraId="72D3358A" w14:textId="14F73E4F" w:rsidR="00CB0AE8" w:rsidRDefault="000A19CC" w:rsidP="008818E0">
      <w:pPr>
        <w:ind w:left="360"/>
        <w:contextualSpacing/>
        <w:jc w:val="both"/>
        <w:rPr>
          <w:iCs/>
          <w:highlight w:val="yellow"/>
        </w:rPr>
      </w:pPr>
      <w:r>
        <w:rPr>
          <w:iCs/>
          <w:highlight w:val="yellow"/>
        </w:rPr>
        <w:t xml:space="preserve">All plastic casing parts </w:t>
      </w:r>
      <w:r w:rsidR="008E725D" w:rsidRPr="00247FA5">
        <w:rPr>
          <w:iCs/>
          <w:highlight w:val="yellow"/>
        </w:rPr>
        <w:t xml:space="preserve">may </w:t>
      </w:r>
      <w:r>
        <w:rPr>
          <w:iCs/>
          <w:highlight w:val="yellow"/>
        </w:rPr>
        <w:t xml:space="preserve">only </w:t>
      </w:r>
      <w:r w:rsidR="008E725D" w:rsidRPr="00247FA5">
        <w:rPr>
          <w:iCs/>
          <w:highlight w:val="yellow"/>
        </w:rPr>
        <w:t>consist of up to four separable polymers or polymer blends.</w:t>
      </w:r>
      <w:r w:rsidR="00330167" w:rsidRPr="00247FA5">
        <w:rPr>
          <w:iCs/>
          <w:highlight w:val="yellow"/>
        </w:rPr>
        <w:t xml:space="preserve"> </w:t>
      </w:r>
    </w:p>
    <w:p w14:paraId="14CC82B0" w14:textId="77777777" w:rsidR="00CB0AE8" w:rsidRDefault="00CB0AE8" w:rsidP="008818E0">
      <w:pPr>
        <w:ind w:left="360"/>
        <w:contextualSpacing/>
        <w:jc w:val="both"/>
        <w:rPr>
          <w:iCs/>
          <w:highlight w:val="yellow"/>
        </w:rPr>
      </w:pPr>
    </w:p>
    <w:p w14:paraId="6ED6AFDF" w14:textId="2BB9DFD4" w:rsidR="00CB0AE8" w:rsidRDefault="008E725D" w:rsidP="008818E0">
      <w:pPr>
        <w:ind w:left="360"/>
        <w:contextualSpacing/>
        <w:jc w:val="both"/>
        <w:rPr>
          <w:iCs/>
          <w:highlight w:val="yellow"/>
        </w:rPr>
      </w:pPr>
      <w:r w:rsidRPr="00247FA5">
        <w:rPr>
          <w:iCs/>
          <w:highlight w:val="yellow"/>
        </w:rPr>
        <w:t>Large-sized casing parts must be designed in a way that the contained plastics can be used for the production of high-quality durable products by applying available recycling techniques.</w:t>
      </w:r>
      <w:r w:rsidR="00330167" w:rsidRPr="00247FA5">
        <w:rPr>
          <w:iCs/>
          <w:highlight w:val="yellow"/>
        </w:rPr>
        <w:t xml:space="preserve"> </w:t>
      </w:r>
    </w:p>
    <w:p w14:paraId="5C0595FD" w14:textId="77777777" w:rsidR="00CB0AE8" w:rsidRDefault="00CB0AE8" w:rsidP="008818E0">
      <w:pPr>
        <w:ind w:left="360"/>
        <w:contextualSpacing/>
        <w:jc w:val="both"/>
        <w:rPr>
          <w:iCs/>
          <w:highlight w:val="yellow"/>
        </w:rPr>
      </w:pPr>
    </w:p>
    <w:p w14:paraId="0CEFA4B1" w14:textId="3D25EBC8" w:rsidR="00EA0EC6" w:rsidRPr="00B02BD1" w:rsidRDefault="008E725D" w:rsidP="008818E0">
      <w:pPr>
        <w:ind w:left="360"/>
        <w:contextualSpacing/>
        <w:jc w:val="both"/>
        <w:rPr>
          <w:iCs/>
        </w:rPr>
      </w:pPr>
      <w:r w:rsidRPr="00247FA5">
        <w:rPr>
          <w:iCs/>
          <w:highlight w:val="yellow"/>
        </w:rPr>
        <w:t>The use of coatings for special parts is to be reduced to a minimum, unless it can be demonstrated that it does not alter recyclability.</w:t>
      </w:r>
      <w:r w:rsidR="00330167" w:rsidRPr="00247FA5">
        <w:rPr>
          <w:iCs/>
          <w:highlight w:val="yellow"/>
        </w:rPr>
        <w:t xml:space="preserve"> </w:t>
      </w:r>
      <w:r w:rsidRPr="00247FA5">
        <w:rPr>
          <w:iCs/>
          <w:highlight w:val="yellow"/>
        </w:rPr>
        <w:t xml:space="preserve">Galvanic coatings </w:t>
      </w:r>
      <w:r w:rsidR="000A19CC">
        <w:rPr>
          <w:iCs/>
          <w:highlight w:val="yellow"/>
        </w:rPr>
        <w:t xml:space="preserve">on plastic parts </w:t>
      </w:r>
      <w:r w:rsidRPr="00247FA5">
        <w:rPr>
          <w:iCs/>
          <w:highlight w:val="yellow"/>
        </w:rPr>
        <w:t>are not permissible</w:t>
      </w:r>
      <w:r w:rsidR="009F47C7">
        <w:rPr>
          <w:iCs/>
          <w:highlight w:val="yellow"/>
        </w:rPr>
        <w:t>.</w:t>
      </w:r>
    </w:p>
    <w:p w14:paraId="608DC3CF" w14:textId="77777777" w:rsidR="00330167" w:rsidRDefault="00330167" w:rsidP="008818E0">
      <w:pPr>
        <w:contextualSpacing/>
        <w:jc w:val="both"/>
      </w:pPr>
    </w:p>
    <w:p w14:paraId="399DCE2A" w14:textId="77777777" w:rsidR="00247FA5" w:rsidRDefault="00107738" w:rsidP="008818E0">
      <w:pPr>
        <w:pStyle w:val="Heading2"/>
        <w:numPr>
          <w:ilvl w:val="1"/>
          <w:numId w:val="16"/>
        </w:numPr>
        <w:spacing w:before="0" w:after="0"/>
        <w:contextualSpacing/>
        <w:jc w:val="both"/>
        <w:rPr>
          <w:b/>
        </w:rPr>
      </w:pPr>
      <w:bookmarkStart w:id="82" w:name="_Toc375308117"/>
      <w:bookmarkStart w:id="83" w:name="_Toc375572519"/>
      <w:r w:rsidRPr="00D920E5">
        <w:rPr>
          <w:b/>
        </w:rPr>
        <w:t>Cartridges</w:t>
      </w:r>
      <w:bookmarkEnd w:id="82"/>
      <w:bookmarkEnd w:id="83"/>
    </w:p>
    <w:p w14:paraId="5BFDBCF6" w14:textId="77777777" w:rsidR="00B268EB" w:rsidRPr="00B268EB" w:rsidRDefault="00B268EB" w:rsidP="008818E0">
      <w:pPr>
        <w:jc w:val="both"/>
      </w:pPr>
    </w:p>
    <w:p w14:paraId="75FB05A9" w14:textId="657CC08E" w:rsidR="00AD0B85" w:rsidRDefault="00AD0B85" w:rsidP="008818E0">
      <w:pPr>
        <w:pStyle w:val="Heading3"/>
        <w:numPr>
          <w:ilvl w:val="0"/>
          <w:numId w:val="0"/>
        </w:numPr>
        <w:spacing w:before="0" w:after="0"/>
        <w:ind w:left="360"/>
        <w:contextualSpacing/>
        <w:jc w:val="both"/>
      </w:pPr>
      <w:bookmarkStart w:id="84" w:name="_Toc375308118"/>
      <w:bookmarkStart w:id="85" w:name="_Toc375572520"/>
      <w:r w:rsidRPr="00CD5A46">
        <w:t>For all product</w:t>
      </w:r>
      <w:r w:rsidR="004F4FFB">
        <w:t xml:space="preserve"> models newly </w:t>
      </w:r>
      <w:r w:rsidRPr="00CD5A46">
        <w:t xml:space="preserve">placed on the market after 1 January </w:t>
      </w:r>
      <w:r w:rsidR="005E3672" w:rsidRPr="00CD5A46">
        <w:t>201</w:t>
      </w:r>
      <w:r w:rsidR="005E3672">
        <w:t>4</w:t>
      </w:r>
      <w:r w:rsidR="0045454E" w:rsidRPr="00CD5A46">
        <w:t>:</w:t>
      </w:r>
      <w:bookmarkEnd w:id="84"/>
      <w:bookmarkEnd w:id="85"/>
    </w:p>
    <w:p w14:paraId="304701EF" w14:textId="77777777" w:rsidR="00B268EB" w:rsidRPr="00B268EB" w:rsidRDefault="00B268EB" w:rsidP="008818E0">
      <w:pPr>
        <w:jc w:val="both"/>
      </w:pPr>
    </w:p>
    <w:p w14:paraId="54B47B29" w14:textId="77777777" w:rsidR="00107738" w:rsidRDefault="00B1179F" w:rsidP="0070729D">
      <w:pPr>
        <w:pStyle w:val="Heading3"/>
        <w:tabs>
          <w:tab w:val="clear" w:pos="1800"/>
          <w:tab w:val="clear" w:pos="1855"/>
          <w:tab w:val="left" w:pos="1843"/>
        </w:tabs>
        <w:spacing w:before="0" w:after="0"/>
        <w:contextualSpacing/>
        <w:jc w:val="both"/>
      </w:pPr>
      <w:bookmarkStart w:id="86" w:name="_Toc375308119"/>
      <w:bookmarkStart w:id="87" w:name="_Toc375572521"/>
      <w:r w:rsidRPr="00CD5A46">
        <w:t>Any</w:t>
      </w:r>
      <w:r w:rsidR="00107738" w:rsidRPr="00CD5A46">
        <w:t xml:space="preserve"> cartridge produced by or recommended by the OEM for use in the product s</w:t>
      </w:r>
      <w:r w:rsidR="00BD4E02" w:rsidRPr="00CD5A46">
        <w:t>hall</w:t>
      </w:r>
      <w:r w:rsidR="00107738" w:rsidRPr="00CD5A46">
        <w:t xml:space="preserve"> not </w:t>
      </w:r>
      <w:r w:rsidR="00BD4E02" w:rsidRPr="00CD5A46">
        <w:t xml:space="preserve">be </w:t>
      </w:r>
      <w:r w:rsidR="00107738" w:rsidRPr="00CD5A46">
        <w:t>designed to prevent its reuse and recycling.</w:t>
      </w:r>
      <w:bookmarkEnd w:id="86"/>
      <w:bookmarkEnd w:id="87"/>
    </w:p>
    <w:p w14:paraId="535801FA" w14:textId="77777777" w:rsidR="0070729D" w:rsidRPr="0070729D" w:rsidRDefault="0070729D" w:rsidP="0070729D">
      <w:pPr>
        <w:tabs>
          <w:tab w:val="left" w:pos="1843"/>
        </w:tabs>
      </w:pPr>
    </w:p>
    <w:p w14:paraId="2AE5B78D" w14:textId="77777777" w:rsidR="00107738" w:rsidRPr="00CD5A46" w:rsidRDefault="00B1179F" w:rsidP="0070729D">
      <w:pPr>
        <w:pStyle w:val="Heading3"/>
        <w:tabs>
          <w:tab w:val="clear" w:pos="1800"/>
          <w:tab w:val="clear" w:pos="1855"/>
          <w:tab w:val="left" w:pos="1843"/>
        </w:tabs>
        <w:spacing w:before="0" w:after="0"/>
        <w:contextualSpacing/>
        <w:jc w:val="both"/>
        <w:rPr>
          <w:vertAlign w:val="superscript"/>
        </w:rPr>
      </w:pPr>
      <w:bookmarkStart w:id="88" w:name="_Toc375308120"/>
      <w:bookmarkStart w:id="89" w:name="_Toc375572522"/>
      <w:r w:rsidRPr="00CD5A46">
        <w:t>The</w:t>
      </w:r>
      <w:r w:rsidR="00107738" w:rsidRPr="00CD5A46">
        <w:t xml:space="preserve"> machine s</w:t>
      </w:r>
      <w:r w:rsidR="00BD4E02" w:rsidRPr="00CD5A46">
        <w:t xml:space="preserve">hall </w:t>
      </w:r>
      <w:r w:rsidR="00107738" w:rsidRPr="00CD5A46">
        <w:t xml:space="preserve">not </w:t>
      </w:r>
      <w:r w:rsidR="00BD4E02" w:rsidRPr="00CD5A46">
        <w:t xml:space="preserve">be </w:t>
      </w:r>
      <w:r w:rsidR="00107738" w:rsidRPr="00CD5A46">
        <w:t xml:space="preserve">designed to prevent the use of a </w:t>
      </w:r>
      <w:r w:rsidRPr="00CD5A46">
        <w:t>non</w:t>
      </w:r>
      <w:r w:rsidR="00107738" w:rsidRPr="00CD5A46">
        <w:t xml:space="preserve">-OEM </w:t>
      </w:r>
      <w:r w:rsidRPr="00CD5A46">
        <w:t>cartridge</w:t>
      </w:r>
      <w:r w:rsidR="00D676ED">
        <w:rPr>
          <w:rStyle w:val="FootnoteReference"/>
        </w:rPr>
        <w:footnoteReference w:id="7"/>
      </w:r>
      <w:r w:rsidR="00107738" w:rsidRPr="00CD5A46">
        <w:t>.</w:t>
      </w:r>
      <w:bookmarkEnd w:id="88"/>
      <w:bookmarkEnd w:id="89"/>
    </w:p>
    <w:p w14:paraId="49BF6607" w14:textId="77777777" w:rsidR="00EE4971" w:rsidRPr="00CD5A46" w:rsidRDefault="00EE4971" w:rsidP="0070729D">
      <w:pPr>
        <w:tabs>
          <w:tab w:val="left" w:pos="1843"/>
        </w:tabs>
        <w:autoSpaceDE w:val="0"/>
        <w:autoSpaceDN w:val="0"/>
        <w:adjustRightInd w:val="0"/>
        <w:contextualSpacing/>
        <w:jc w:val="both"/>
        <w:rPr>
          <w:rFonts w:eastAsia="Times New Roman"/>
          <w:lang w:eastAsia="fr-FR"/>
        </w:rPr>
      </w:pPr>
    </w:p>
    <w:p w14:paraId="4EB9F129" w14:textId="77777777" w:rsidR="00247FA5" w:rsidRDefault="006141E2" w:rsidP="0070729D">
      <w:pPr>
        <w:pStyle w:val="Heading3"/>
        <w:tabs>
          <w:tab w:val="clear" w:pos="1800"/>
          <w:tab w:val="clear" w:pos="1855"/>
          <w:tab w:val="left" w:pos="1843"/>
        </w:tabs>
        <w:spacing w:before="0" w:after="0"/>
        <w:contextualSpacing/>
        <w:jc w:val="both"/>
        <w:rPr>
          <w:highlight w:val="yellow"/>
        </w:rPr>
      </w:pPr>
      <w:bookmarkStart w:id="90" w:name="_Toc375308121"/>
      <w:bookmarkStart w:id="91" w:name="_Toc375572523"/>
      <w:bookmarkEnd w:id="71"/>
      <w:bookmarkEnd w:id="72"/>
      <w:r w:rsidRPr="00930D24">
        <w:rPr>
          <w:highlight w:val="yellow"/>
        </w:rPr>
        <w:t>Signatories shall be excused from the requirements of Section</w:t>
      </w:r>
      <w:r w:rsidR="00247FA5" w:rsidRPr="00930D24">
        <w:rPr>
          <w:highlight w:val="yellow"/>
        </w:rPr>
        <w:t>s</w:t>
      </w:r>
      <w:r w:rsidRPr="00930D24">
        <w:rPr>
          <w:highlight w:val="yellow"/>
        </w:rPr>
        <w:t xml:space="preserve"> </w:t>
      </w:r>
      <w:r w:rsidR="00D920E5" w:rsidRPr="00930D24">
        <w:rPr>
          <w:highlight w:val="yellow"/>
        </w:rPr>
        <w:t>5.4.1 and 5.4</w:t>
      </w:r>
      <w:r w:rsidR="00247FA5" w:rsidRPr="00930D24">
        <w:rPr>
          <w:highlight w:val="yellow"/>
        </w:rPr>
        <w:t>.2</w:t>
      </w:r>
      <w:r w:rsidRPr="00930D24">
        <w:rPr>
          <w:highlight w:val="yellow"/>
        </w:rPr>
        <w:t xml:space="preserve"> only if the design or technology that is inconsistent with those requirements is necessary to achieve an innovation, development or improvement in the functionality of the product or the cartridge that provides a benefit to the user.</w:t>
      </w:r>
      <w:bookmarkEnd w:id="90"/>
      <w:bookmarkEnd w:id="91"/>
      <w:r w:rsidRPr="00930D24">
        <w:rPr>
          <w:highlight w:val="yellow"/>
        </w:rPr>
        <w:t xml:space="preserve"> </w:t>
      </w:r>
    </w:p>
    <w:p w14:paraId="2F21FC20" w14:textId="77777777" w:rsidR="00B268EB" w:rsidRPr="00B268EB" w:rsidRDefault="00B268EB" w:rsidP="008818E0">
      <w:pPr>
        <w:jc w:val="both"/>
        <w:rPr>
          <w:highlight w:val="yellow"/>
        </w:rPr>
      </w:pPr>
    </w:p>
    <w:p w14:paraId="4E658AD5" w14:textId="77777777" w:rsidR="00247FA5" w:rsidRDefault="00247FA5" w:rsidP="008818E0">
      <w:pPr>
        <w:pStyle w:val="Heading2"/>
        <w:spacing w:before="0" w:after="0"/>
        <w:contextualSpacing/>
        <w:jc w:val="both"/>
        <w:rPr>
          <w:b/>
          <w:highlight w:val="yellow"/>
        </w:rPr>
      </w:pPr>
      <w:bookmarkStart w:id="92" w:name="_Toc375308122"/>
      <w:bookmarkStart w:id="93" w:name="_Toc375572524"/>
      <w:r w:rsidRPr="00A80298">
        <w:rPr>
          <w:b/>
          <w:highlight w:val="yellow"/>
        </w:rPr>
        <w:t>Recycled plastic content</w:t>
      </w:r>
      <w:bookmarkEnd w:id="92"/>
      <w:bookmarkEnd w:id="93"/>
    </w:p>
    <w:p w14:paraId="45D22A59" w14:textId="77777777" w:rsidR="00B268EB" w:rsidRPr="00B268EB" w:rsidRDefault="00B268EB" w:rsidP="008818E0">
      <w:pPr>
        <w:jc w:val="both"/>
        <w:rPr>
          <w:highlight w:val="yellow"/>
        </w:rPr>
      </w:pPr>
    </w:p>
    <w:p w14:paraId="611A1AB6" w14:textId="09B067AA" w:rsidR="002E3EFE" w:rsidRDefault="00AB46B0" w:rsidP="008818E0">
      <w:pPr>
        <w:pStyle w:val="Heading2"/>
        <w:numPr>
          <w:ilvl w:val="0"/>
          <w:numId w:val="0"/>
        </w:numPr>
        <w:spacing w:before="0" w:after="0"/>
        <w:ind w:left="360"/>
        <w:contextualSpacing/>
        <w:jc w:val="both"/>
        <w:rPr>
          <w:rFonts w:eastAsia="MS PGothic"/>
          <w:highlight w:val="yellow"/>
        </w:rPr>
      </w:pPr>
      <w:bookmarkStart w:id="94" w:name="_Toc375308123"/>
      <w:bookmarkStart w:id="95" w:name="_Toc375572525"/>
      <w:r w:rsidRPr="002E3EFE">
        <w:rPr>
          <w:highlight w:val="yellow"/>
        </w:rPr>
        <w:t>For all new product models first placed on the EU market after 1 January 2014</w:t>
      </w:r>
      <w:r w:rsidR="00247FA5" w:rsidRPr="00ED0762">
        <w:rPr>
          <w:highlight w:val="yellow"/>
        </w:rPr>
        <w:t xml:space="preserve">, </w:t>
      </w:r>
      <w:r w:rsidR="002E3EFE" w:rsidRPr="00ED0762">
        <w:rPr>
          <w:rFonts w:eastAsia="MS PGothic"/>
          <w:highlight w:val="yellow"/>
        </w:rPr>
        <w:t>Signatories shall make information available to customers on the minimum percentage</w:t>
      </w:r>
      <w:r w:rsidR="002E3EFE" w:rsidRPr="002E3EFE">
        <w:rPr>
          <w:rStyle w:val="FootnoteReference"/>
          <w:highlight w:val="yellow"/>
        </w:rPr>
        <w:footnoteReference w:id="8"/>
      </w:r>
      <w:r w:rsidR="002E3EFE" w:rsidRPr="00ED0762">
        <w:rPr>
          <w:rFonts w:eastAsia="MS PGothic"/>
          <w:highlight w:val="yellow"/>
        </w:rPr>
        <w:t xml:space="preserve"> of postconsumer recycled plastic content,</w:t>
      </w:r>
      <w:r w:rsidR="002E3EFE" w:rsidRPr="002E3EFE">
        <w:rPr>
          <w:iCs w:val="0"/>
          <w:highlight w:val="yellow"/>
        </w:rPr>
        <w:t xml:space="preserve"> </w:t>
      </w:r>
      <w:r w:rsidR="002E3EFE" w:rsidRPr="00ED0762">
        <w:rPr>
          <w:iCs w:val="0"/>
          <w:highlight w:val="yellow"/>
        </w:rPr>
        <w:t>calculated as a percentage of total plastic (by weight) in each product</w:t>
      </w:r>
      <w:r w:rsidR="002E3EFE" w:rsidRPr="00ED0762">
        <w:rPr>
          <w:rFonts w:eastAsia="MS PGothic"/>
          <w:highlight w:val="yellow"/>
        </w:rPr>
        <w:t>.</w:t>
      </w:r>
      <w:bookmarkEnd w:id="94"/>
      <w:bookmarkEnd w:id="95"/>
    </w:p>
    <w:p w14:paraId="4F85A5CC" w14:textId="77777777" w:rsidR="00B268EB" w:rsidRPr="00B268EB" w:rsidRDefault="00B268EB" w:rsidP="008818E0">
      <w:pPr>
        <w:jc w:val="both"/>
        <w:rPr>
          <w:highlight w:val="yellow"/>
        </w:rPr>
      </w:pPr>
    </w:p>
    <w:p w14:paraId="2269EEC2" w14:textId="1FAA3E32" w:rsidR="00E62122" w:rsidRDefault="00AB46B0" w:rsidP="008818E0">
      <w:pPr>
        <w:pStyle w:val="Heading2"/>
        <w:numPr>
          <w:ilvl w:val="0"/>
          <w:numId w:val="0"/>
        </w:numPr>
        <w:spacing w:before="0" w:after="0"/>
        <w:ind w:left="360"/>
        <w:contextualSpacing/>
        <w:jc w:val="both"/>
        <w:rPr>
          <w:iCs w:val="0"/>
        </w:rPr>
      </w:pPr>
      <w:bookmarkStart w:id="96" w:name="_Toc375308124"/>
      <w:bookmarkStart w:id="97" w:name="_Toc375572526"/>
      <w:r w:rsidRPr="006D237D">
        <w:rPr>
          <w:iCs w:val="0"/>
          <w:highlight w:val="yellow"/>
        </w:rPr>
        <w:t xml:space="preserve">The following </w:t>
      </w:r>
      <w:r w:rsidR="00B124ED">
        <w:rPr>
          <w:iCs w:val="0"/>
          <w:highlight w:val="yellow"/>
        </w:rPr>
        <w:t xml:space="preserve">may be </w:t>
      </w:r>
      <w:r w:rsidRPr="006D237D">
        <w:rPr>
          <w:iCs w:val="0"/>
          <w:highlight w:val="yellow"/>
        </w:rPr>
        <w:t xml:space="preserve">excluded from the calculation of </w:t>
      </w:r>
      <w:r w:rsidR="002E3EFE">
        <w:rPr>
          <w:iCs w:val="0"/>
          <w:highlight w:val="yellow"/>
        </w:rPr>
        <w:t xml:space="preserve">the </w:t>
      </w:r>
      <w:r w:rsidRPr="006D237D">
        <w:rPr>
          <w:iCs w:val="0"/>
          <w:highlight w:val="yellow"/>
        </w:rPr>
        <w:t xml:space="preserve">percentage: printed circuit boards, labels, cables, connectors, electronic components, optical components, electrostatic discharge (ESD) components, electromagnetic interference (EMI) components, and </w:t>
      </w:r>
      <w:proofErr w:type="spellStart"/>
      <w:r w:rsidRPr="006D237D">
        <w:rPr>
          <w:iCs w:val="0"/>
          <w:highlight w:val="yellow"/>
        </w:rPr>
        <w:t>biobased</w:t>
      </w:r>
      <w:proofErr w:type="spellEnd"/>
      <w:r w:rsidRPr="006D237D">
        <w:rPr>
          <w:iCs w:val="0"/>
          <w:highlight w:val="yellow"/>
        </w:rPr>
        <w:t xml:space="preserve"> plastic material. Products that do not contain plastics can declare “Not applicable” for this criterion.</w:t>
      </w:r>
      <w:bookmarkEnd w:id="96"/>
      <w:bookmarkEnd w:id="97"/>
    </w:p>
    <w:p w14:paraId="6120C979" w14:textId="77777777" w:rsidR="00B268EB" w:rsidRDefault="00B268EB" w:rsidP="008818E0">
      <w:pPr>
        <w:jc w:val="both"/>
      </w:pPr>
    </w:p>
    <w:p w14:paraId="41DE0178" w14:textId="77777777" w:rsidR="00B268EB" w:rsidRPr="00B268EB" w:rsidRDefault="00B268EB" w:rsidP="008818E0">
      <w:pPr>
        <w:jc w:val="both"/>
      </w:pPr>
    </w:p>
    <w:p w14:paraId="4B13C21B" w14:textId="77777777" w:rsidR="00A13460" w:rsidRDefault="00265A2E" w:rsidP="008818E0">
      <w:pPr>
        <w:pStyle w:val="Heading1"/>
        <w:tabs>
          <w:tab w:val="left" w:pos="2160"/>
        </w:tabs>
        <w:spacing w:before="0" w:after="0"/>
        <w:contextualSpacing/>
        <w:jc w:val="both"/>
        <w:rPr>
          <w:highlight w:val="yellow"/>
        </w:rPr>
      </w:pPr>
      <w:bookmarkStart w:id="98" w:name="_Ref253735330"/>
      <w:bookmarkStart w:id="99" w:name="_Toc375572527"/>
      <w:r w:rsidRPr="00CD5A46">
        <w:t xml:space="preserve">Commitments Part </w:t>
      </w:r>
      <w:r w:rsidRPr="005754E1">
        <w:rPr>
          <w:highlight w:val="yellow"/>
        </w:rPr>
        <w:t>II</w:t>
      </w:r>
      <w:r w:rsidR="00AB46B0" w:rsidRPr="005754E1">
        <w:rPr>
          <w:highlight w:val="yellow"/>
        </w:rPr>
        <w:t>I</w:t>
      </w:r>
      <w:r w:rsidRPr="00CD5A46">
        <w:t xml:space="preserve"> – Information Requirements</w:t>
      </w:r>
      <w:bookmarkEnd w:id="98"/>
      <w:r w:rsidR="00A80298">
        <w:t xml:space="preserve"> for </w:t>
      </w:r>
      <w:r w:rsidR="00A80298" w:rsidRPr="00A80298">
        <w:rPr>
          <w:highlight w:val="yellow"/>
        </w:rPr>
        <w:t>End-Users</w:t>
      </w:r>
      <w:bookmarkEnd w:id="99"/>
      <w:r w:rsidR="00A13460" w:rsidRPr="00A13460">
        <w:rPr>
          <w:highlight w:val="yellow"/>
        </w:rPr>
        <w:t xml:space="preserve"> </w:t>
      </w:r>
    </w:p>
    <w:p w14:paraId="7CEB429D" w14:textId="77777777" w:rsidR="00B268EB" w:rsidRPr="00B268EB" w:rsidRDefault="00B268EB" w:rsidP="008818E0">
      <w:pPr>
        <w:jc w:val="both"/>
        <w:rPr>
          <w:highlight w:val="yellow"/>
        </w:rPr>
      </w:pPr>
    </w:p>
    <w:p w14:paraId="78F96BC0" w14:textId="500A626B" w:rsidR="00265A2E" w:rsidRDefault="00A13460" w:rsidP="008818E0">
      <w:pPr>
        <w:pStyle w:val="Heading1"/>
        <w:numPr>
          <w:ilvl w:val="0"/>
          <w:numId w:val="0"/>
        </w:numPr>
        <w:tabs>
          <w:tab w:val="left" w:pos="2160"/>
        </w:tabs>
        <w:spacing w:before="0" w:after="0"/>
        <w:ind w:left="360"/>
        <w:contextualSpacing/>
        <w:jc w:val="both"/>
        <w:rPr>
          <w:b w:val="0"/>
          <w:sz w:val="20"/>
          <w:szCs w:val="20"/>
          <w:highlight w:val="yellow"/>
        </w:rPr>
      </w:pPr>
      <w:bookmarkStart w:id="100" w:name="_Toc375308126"/>
      <w:bookmarkStart w:id="101" w:name="_Toc375572528"/>
      <w:r w:rsidRPr="00A25475">
        <w:rPr>
          <w:b w:val="0"/>
          <w:sz w:val="20"/>
          <w:szCs w:val="20"/>
          <w:highlight w:val="yellow"/>
        </w:rPr>
        <w:t>A model is considered Part III qualified when it meets all the requirements as detailed in section 6.</w:t>
      </w:r>
      <w:bookmarkEnd w:id="100"/>
      <w:bookmarkEnd w:id="101"/>
    </w:p>
    <w:p w14:paraId="6867820F" w14:textId="77777777" w:rsidR="00B268EB" w:rsidRPr="00B268EB" w:rsidRDefault="00B268EB" w:rsidP="008818E0">
      <w:pPr>
        <w:jc w:val="both"/>
        <w:rPr>
          <w:highlight w:val="yellow"/>
        </w:rPr>
      </w:pPr>
    </w:p>
    <w:p w14:paraId="13A78CC1" w14:textId="77777777" w:rsidR="00265A2E" w:rsidRPr="00A80298" w:rsidRDefault="00265A2E" w:rsidP="008818E0">
      <w:pPr>
        <w:pStyle w:val="Heading2"/>
        <w:spacing w:before="0" w:after="0"/>
        <w:contextualSpacing/>
        <w:jc w:val="both"/>
        <w:rPr>
          <w:b/>
        </w:rPr>
      </w:pPr>
      <w:bookmarkStart w:id="102" w:name="_Ref253735753"/>
      <w:bookmarkStart w:id="103" w:name="_Toc375308127"/>
      <w:bookmarkStart w:id="104" w:name="_Toc375572529"/>
      <w:r w:rsidRPr="00A80298">
        <w:rPr>
          <w:b/>
        </w:rPr>
        <w:t>Resource</w:t>
      </w:r>
      <w:r w:rsidR="00872B8C" w:rsidRPr="00A80298">
        <w:rPr>
          <w:b/>
        </w:rPr>
        <w:t xml:space="preserve"> efficiency and</w:t>
      </w:r>
      <w:r w:rsidRPr="00A80298">
        <w:rPr>
          <w:b/>
        </w:rPr>
        <w:t xml:space="preserve"> energy</w:t>
      </w:r>
      <w:r w:rsidR="00872B8C" w:rsidRPr="00A80298">
        <w:rPr>
          <w:b/>
        </w:rPr>
        <w:t xml:space="preserve"> </w:t>
      </w:r>
      <w:r w:rsidRPr="00A80298">
        <w:rPr>
          <w:b/>
        </w:rPr>
        <w:t>efficiency</w:t>
      </w:r>
      <w:bookmarkEnd w:id="102"/>
      <w:bookmarkEnd w:id="103"/>
      <w:bookmarkEnd w:id="104"/>
    </w:p>
    <w:p w14:paraId="1DCF8016" w14:textId="77777777" w:rsidR="00265A2E" w:rsidRPr="00CD5A46" w:rsidRDefault="00265A2E" w:rsidP="008818E0">
      <w:pPr>
        <w:tabs>
          <w:tab w:val="left" w:pos="2160"/>
        </w:tabs>
        <w:contextualSpacing/>
        <w:jc w:val="both"/>
      </w:pPr>
    </w:p>
    <w:p w14:paraId="18936D0E" w14:textId="4CA06049" w:rsidR="00A13460" w:rsidRDefault="00FC7785" w:rsidP="008818E0">
      <w:pPr>
        <w:ind w:left="360"/>
        <w:contextualSpacing/>
        <w:jc w:val="both"/>
      </w:pPr>
      <w:r w:rsidRPr="00CD5A46">
        <w:t xml:space="preserve">For new models </w:t>
      </w:r>
      <w:r w:rsidR="00FE2DF5" w:rsidRPr="00A80298">
        <w:rPr>
          <w:highlight w:val="yellow"/>
        </w:rPr>
        <w:t>first placed on the EU market</w:t>
      </w:r>
      <w:r w:rsidR="00FE2DF5" w:rsidRPr="00CD5A46">
        <w:t xml:space="preserve"> </w:t>
      </w:r>
      <w:r w:rsidRPr="00CD5A46">
        <w:t>after 1 January 2012</w:t>
      </w:r>
      <w:r w:rsidR="00B12FDF" w:rsidRPr="00CD5A46">
        <w:t>,</w:t>
      </w:r>
      <w:r w:rsidRPr="00CD5A46">
        <w:t xml:space="preserve"> </w:t>
      </w:r>
      <w:r w:rsidR="00B12FDF" w:rsidRPr="00CD5A46">
        <w:t>S</w:t>
      </w:r>
      <w:r w:rsidR="00265A2E" w:rsidRPr="00CD5A46">
        <w:t>ignatories commit to provid</w:t>
      </w:r>
      <w:r w:rsidR="00C606DB" w:rsidRPr="00CD5A46">
        <w:t>ing</w:t>
      </w:r>
      <w:r w:rsidR="00265A2E" w:rsidRPr="00CD5A46">
        <w:t xml:space="preserve"> end-users </w:t>
      </w:r>
      <w:r w:rsidR="00C606DB" w:rsidRPr="00CD5A46">
        <w:t xml:space="preserve">with </w:t>
      </w:r>
      <w:r w:rsidR="00265A2E" w:rsidRPr="00CD5A46">
        <w:t xml:space="preserve">information regarding resource efficiency when using imaging equipment. The intent is to ensure the end-user is made aware of good efficiency practices when they first begin to use a new product. </w:t>
      </w:r>
    </w:p>
    <w:p w14:paraId="6ACB68EE" w14:textId="77777777" w:rsidR="00A13460" w:rsidRPr="00E802E4" w:rsidRDefault="00A13460" w:rsidP="008818E0">
      <w:pPr>
        <w:contextualSpacing/>
        <w:jc w:val="both"/>
      </w:pPr>
    </w:p>
    <w:p w14:paraId="3C7199C5" w14:textId="77777777" w:rsidR="00265A2E" w:rsidRDefault="00265A2E" w:rsidP="008818E0">
      <w:pPr>
        <w:tabs>
          <w:tab w:val="left" w:pos="2160"/>
        </w:tabs>
        <w:ind w:left="360"/>
        <w:contextualSpacing/>
        <w:jc w:val="both"/>
      </w:pPr>
      <w:r w:rsidRPr="00CD5A46">
        <w:t>Signatories shall achieve this through one of the following methods:</w:t>
      </w:r>
    </w:p>
    <w:p w14:paraId="150594C0" w14:textId="77777777" w:rsidR="00A13460" w:rsidRPr="00CD5A46" w:rsidRDefault="00A13460" w:rsidP="008818E0">
      <w:pPr>
        <w:tabs>
          <w:tab w:val="left" w:pos="2160"/>
        </w:tabs>
        <w:ind w:left="360"/>
        <w:contextualSpacing/>
        <w:jc w:val="both"/>
      </w:pPr>
    </w:p>
    <w:p w14:paraId="6D24E2DF" w14:textId="77777777" w:rsidR="00265A2E" w:rsidRDefault="00265A2E" w:rsidP="008818E0">
      <w:pPr>
        <w:numPr>
          <w:ilvl w:val="0"/>
          <w:numId w:val="8"/>
        </w:numPr>
        <w:tabs>
          <w:tab w:val="num" w:pos="1800"/>
          <w:tab w:val="left" w:pos="2160"/>
        </w:tabs>
        <w:contextualSpacing/>
        <w:jc w:val="both"/>
      </w:pPr>
      <w:r w:rsidRPr="00CD5A46">
        <w:t>A pop-up screen on the end-users’ computer during the initial installation of software (preferred)</w:t>
      </w:r>
      <w:r w:rsidR="00AD0B85" w:rsidRPr="00CD5A46">
        <w:rPr>
          <w:rStyle w:val="FootnoteReference"/>
        </w:rPr>
        <w:footnoteReference w:id="9"/>
      </w:r>
    </w:p>
    <w:p w14:paraId="6A5807D5" w14:textId="370A192C" w:rsidR="002677A9" w:rsidRPr="002677A9" w:rsidRDefault="002677A9" w:rsidP="008818E0">
      <w:pPr>
        <w:numPr>
          <w:ilvl w:val="0"/>
          <w:numId w:val="8"/>
        </w:numPr>
        <w:tabs>
          <w:tab w:val="num" w:pos="1800"/>
          <w:tab w:val="left" w:pos="2160"/>
        </w:tabs>
        <w:contextualSpacing/>
        <w:jc w:val="both"/>
        <w:rPr>
          <w:highlight w:val="yellow"/>
        </w:rPr>
      </w:pPr>
      <w:r w:rsidRPr="002677A9">
        <w:rPr>
          <w:highlight w:val="yellow"/>
        </w:rPr>
        <w:t>A CD or publicly available website</w:t>
      </w:r>
    </w:p>
    <w:p w14:paraId="3B2069B7" w14:textId="77777777" w:rsidR="00265A2E" w:rsidRPr="00CD5A46" w:rsidRDefault="00265A2E" w:rsidP="008818E0">
      <w:pPr>
        <w:numPr>
          <w:ilvl w:val="0"/>
          <w:numId w:val="8"/>
        </w:numPr>
        <w:tabs>
          <w:tab w:val="num" w:pos="1800"/>
          <w:tab w:val="left" w:pos="2160"/>
        </w:tabs>
        <w:contextualSpacing/>
        <w:jc w:val="both"/>
      </w:pPr>
      <w:r w:rsidRPr="00CD5A46">
        <w:t>An insertion sheet provided in/on the box</w:t>
      </w:r>
      <w:r w:rsidR="0096683F" w:rsidRPr="00CD5A46">
        <w:t xml:space="preserve"> of the product as defined in Section </w:t>
      </w:r>
      <w:r w:rsidR="00A47679">
        <w:fldChar w:fldCharType="begin"/>
      </w:r>
      <w:r w:rsidR="00A47679">
        <w:instrText xml:space="preserve"> REF _Ref254011102 \r \h  \* MERGEFORMAT </w:instrText>
      </w:r>
      <w:r w:rsidR="00A47679">
        <w:fldChar w:fldCharType="separate"/>
      </w:r>
      <w:r w:rsidR="00B675AF">
        <w:t>3</w:t>
      </w:r>
      <w:r w:rsidR="00A47679">
        <w:fldChar w:fldCharType="end"/>
      </w:r>
      <w:r w:rsidR="0096683F" w:rsidRPr="00CD5A46">
        <w:t xml:space="preserve"> above</w:t>
      </w:r>
    </w:p>
    <w:p w14:paraId="6584701D" w14:textId="77777777" w:rsidR="00265A2E" w:rsidRPr="00CD5A46" w:rsidRDefault="00265A2E" w:rsidP="008818E0">
      <w:pPr>
        <w:numPr>
          <w:ilvl w:val="0"/>
          <w:numId w:val="8"/>
        </w:numPr>
        <w:tabs>
          <w:tab w:val="num" w:pos="1800"/>
          <w:tab w:val="left" w:pos="2160"/>
        </w:tabs>
        <w:contextualSpacing/>
        <w:jc w:val="both"/>
      </w:pPr>
      <w:r w:rsidRPr="00CD5A46">
        <w:t xml:space="preserve">An </w:t>
      </w:r>
      <w:r w:rsidR="00EE4971" w:rsidRPr="00CD5A46">
        <w:t xml:space="preserve">information </w:t>
      </w:r>
      <w:r w:rsidRPr="00CD5A46">
        <w:t xml:space="preserve">sheet to be provided at the time of sale </w:t>
      </w:r>
      <w:r w:rsidR="0096683F" w:rsidRPr="00CD5A46">
        <w:t xml:space="preserve">of the product as defined in Section </w:t>
      </w:r>
      <w:r w:rsidR="00A47679">
        <w:fldChar w:fldCharType="begin"/>
      </w:r>
      <w:r w:rsidR="00A47679">
        <w:instrText xml:space="preserve"> REF _Ref254011109 \r \h  \* MERGEFORMAT </w:instrText>
      </w:r>
      <w:r w:rsidR="00A47679">
        <w:fldChar w:fldCharType="separate"/>
      </w:r>
      <w:r w:rsidR="00B675AF">
        <w:t>3</w:t>
      </w:r>
      <w:r w:rsidR="00A47679">
        <w:fldChar w:fldCharType="end"/>
      </w:r>
      <w:r w:rsidR="0096683F" w:rsidRPr="00CD5A46">
        <w:t xml:space="preserve"> above</w:t>
      </w:r>
    </w:p>
    <w:p w14:paraId="24CDF230" w14:textId="77777777" w:rsidR="00265A2E" w:rsidRPr="00CD5A46" w:rsidRDefault="00265A2E" w:rsidP="008818E0">
      <w:pPr>
        <w:tabs>
          <w:tab w:val="left" w:pos="2160"/>
        </w:tabs>
        <w:ind w:left="360"/>
        <w:contextualSpacing/>
        <w:jc w:val="both"/>
      </w:pPr>
    </w:p>
    <w:p w14:paraId="0BD0D343" w14:textId="77777777" w:rsidR="006D237D" w:rsidRDefault="00265A2E" w:rsidP="008818E0">
      <w:pPr>
        <w:tabs>
          <w:tab w:val="left" w:pos="2160"/>
        </w:tabs>
        <w:ind w:left="360"/>
        <w:contextualSpacing/>
        <w:jc w:val="both"/>
      </w:pPr>
      <w:r w:rsidRPr="00CD5A46">
        <w:t>The following information shall be provided</w:t>
      </w:r>
      <w:r w:rsidR="00826972" w:rsidRPr="00CD5A46">
        <w:t xml:space="preserve"> as a minimum</w:t>
      </w:r>
      <w:r w:rsidRPr="00CD5A46">
        <w:rPr>
          <w:rStyle w:val="FootnoteReference"/>
        </w:rPr>
        <w:footnoteReference w:id="10"/>
      </w:r>
      <w:r w:rsidRPr="00CD5A46">
        <w:t xml:space="preserve"> </w:t>
      </w:r>
      <w:r w:rsidR="009B0734" w:rsidRPr="00CD5A46">
        <w:t>where applicable</w:t>
      </w:r>
      <w:r w:rsidRPr="00CD5A46">
        <w:t>:</w:t>
      </w:r>
    </w:p>
    <w:p w14:paraId="7250C6AF" w14:textId="77777777" w:rsidR="0070729D" w:rsidRPr="00CD5A46" w:rsidRDefault="0070729D" w:rsidP="008818E0">
      <w:pPr>
        <w:tabs>
          <w:tab w:val="left" w:pos="2160"/>
        </w:tabs>
        <w:ind w:left="360"/>
        <w:contextualSpacing/>
        <w:jc w:val="both"/>
      </w:pPr>
    </w:p>
    <w:p w14:paraId="6545712D" w14:textId="77777777" w:rsidR="00265A2E" w:rsidRDefault="00826972" w:rsidP="008818E0">
      <w:pPr>
        <w:tabs>
          <w:tab w:val="left" w:pos="2160"/>
        </w:tabs>
        <w:ind w:left="360"/>
        <w:contextualSpacing/>
        <w:jc w:val="both"/>
      </w:pPr>
      <w:bookmarkStart w:id="105" w:name="_Ref253732088"/>
      <w:r w:rsidRPr="00CD5A46">
        <w:t xml:space="preserve">Information </w:t>
      </w:r>
      <w:r w:rsidR="0037742D" w:rsidRPr="00CD5A46">
        <w:t>that</w:t>
      </w:r>
      <w:r w:rsidR="00265A2E" w:rsidRPr="00CD5A46">
        <w:t xml:space="preserve"> recycled as well as virgin paper certified under environmental stewardship initiatives, or carrying recognised </w:t>
      </w:r>
      <w:proofErr w:type="spellStart"/>
      <w:r w:rsidR="0037742D" w:rsidRPr="00CD5A46">
        <w:t>e</w:t>
      </w:r>
      <w:r w:rsidR="00265A2E" w:rsidRPr="00CD5A46">
        <w:t>colabels</w:t>
      </w:r>
      <w:proofErr w:type="spellEnd"/>
      <w:r w:rsidR="00265A2E" w:rsidRPr="00CD5A46">
        <w:t xml:space="preserve">, may be suitable providing </w:t>
      </w:r>
      <w:r w:rsidR="009B0734" w:rsidRPr="00CD5A46">
        <w:t xml:space="preserve">that it </w:t>
      </w:r>
      <w:r w:rsidR="00265A2E" w:rsidRPr="00CD5A46">
        <w:t>meet</w:t>
      </w:r>
      <w:r w:rsidR="009B0734" w:rsidRPr="00CD5A46">
        <w:t>s</w:t>
      </w:r>
      <w:r w:rsidR="00265A2E" w:rsidRPr="00CD5A46">
        <w:t xml:space="preserve"> appropriate quality standards</w:t>
      </w:r>
      <w:r w:rsidR="009B0734" w:rsidRPr="00CD5A46">
        <w:t xml:space="preserve"> as defined, f</w:t>
      </w:r>
      <w:r w:rsidR="00265A2E" w:rsidRPr="00CD5A46">
        <w:t>or example,</w:t>
      </w:r>
      <w:r w:rsidR="009B0734" w:rsidRPr="00CD5A46">
        <w:t xml:space="preserve"> in</w:t>
      </w:r>
      <w:r w:rsidR="00265A2E" w:rsidRPr="00CD5A46">
        <w:t xml:space="preserve"> EN 12281 </w:t>
      </w:r>
      <w:r w:rsidR="009B0734" w:rsidRPr="00CD5A46">
        <w:t xml:space="preserve">on </w:t>
      </w:r>
      <w:r w:rsidR="00265A2E" w:rsidRPr="00CD5A46">
        <w:t>“Printing and business paper for dry toner imaging processes” for papers in the range 75-250 g/m</w:t>
      </w:r>
      <w:r w:rsidR="00265A2E" w:rsidRPr="006D237D">
        <w:rPr>
          <w:vertAlign w:val="superscript"/>
        </w:rPr>
        <w:t>2</w:t>
      </w:r>
      <w:r w:rsidR="00265A2E" w:rsidRPr="00CD5A46">
        <w:t>. For specific applications, the lower boundary may be chosen at 64 g/m</w:t>
      </w:r>
      <w:r w:rsidR="00265A2E" w:rsidRPr="006D237D">
        <w:rPr>
          <w:vertAlign w:val="superscript"/>
        </w:rPr>
        <w:t>2</w:t>
      </w:r>
      <w:r w:rsidR="00265A2E" w:rsidRPr="00CD5A46">
        <w:t>.</w:t>
      </w:r>
      <w:bookmarkEnd w:id="105"/>
    </w:p>
    <w:p w14:paraId="65F57168" w14:textId="77777777" w:rsidR="00B268EB" w:rsidRPr="00CD5A46" w:rsidRDefault="00B268EB" w:rsidP="008818E0">
      <w:pPr>
        <w:tabs>
          <w:tab w:val="left" w:pos="2160"/>
        </w:tabs>
        <w:ind w:left="360"/>
        <w:contextualSpacing/>
        <w:jc w:val="both"/>
      </w:pPr>
    </w:p>
    <w:p w14:paraId="3413C243" w14:textId="69A09326" w:rsidR="00265A2E" w:rsidRPr="00CD5A46" w:rsidRDefault="00265A2E" w:rsidP="008818E0">
      <w:pPr>
        <w:pStyle w:val="Heading3"/>
        <w:spacing w:before="0" w:after="0"/>
        <w:contextualSpacing/>
        <w:jc w:val="both"/>
      </w:pPr>
      <w:bookmarkStart w:id="106" w:name="_Toc375308128"/>
      <w:bookmarkStart w:id="107" w:name="_Toc375572530"/>
      <w:r w:rsidRPr="00CD5A46">
        <w:t>For Electro Photography printers: indicat</w:t>
      </w:r>
      <w:r w:rsidR="0096683F" w:rsidRPr="00CD5A46">
        <w:t>ion</w:t>
      </w:r>
      <w:r w:rsidRPr="00CD5A46">
        <w:t xml:space="preserve"> that these can print on 64 g/m</w:t>
      </w:r>
      <w:r w:rsidR="00A13460">
        <w:t>²</w:t>
      </w:r>
      <w:r w:rsidRPr="00CD5A46">
        <w:t xml:space="preserve"> paper and that this paper contains less raw material per print, thus saving significant resources.</w:t>
      </w:r>
      <w:bookmarkEnd w:id="106"/>
      <w:bookmarkEnd w:id="107"/>
      <w:r w:rsidRPr="00CD5A46">
        <w:t xml:space="preserve"> </w:t>
      </w:r>
    </w:p>
    <w:p w14:paraId="751041EE" w14:textId="66B17CAF" w:rsidR="00265A2E" w:rsidRPr="00CD5A46" w:rsidRDefault="00265A2E" w:rsidP="008818E0">
      <w:pPr>
        <w:pStyle w:val="Heading3"/>
        <w:spacing w:before="0" w:after="0"/>
        <w:contextualSpacing/>
        <w:jc w:val="both"/>
      </w:pPr>
      <w:bookmarkStart w:id="108" w:name="_Toc375308129"/>
      <w:bookmarkStart w:id="109" w:name="_Toc375572531"/>
      <w:r w:rsidRPr="00CD5A46">
        <w:t xml:space="preserve">Energy can be saved by purchasing </w:t>
      </w:r>
      <w:r w:rsidR="00EB1250" w:rsidRPr="00CD5A46">
        <w:t>ENERGY STAR</w:t>
      </w:r>
      <w:r w:rsidR="00B12FDF" w:rsidRPr="00CD5A46">
        <w:t xml:space="preserve"> ®</w:t>
      </w:r>
      <w:r w:rsidRPr="00CD5A46">
        <w:t xml:space="preserve"> </w:t>
      </w:r>
      <w:r w:rsidR="00AB4893">
        <w:t>qualified</w:t>
      </w:r>
      <w:r w:rsidR="00AB4893" w:rsidRPr="00CD5A46">
        <w:t xml:space="preserve"> </w:t>
      </w:r>
      <w:r w:rsidRPr="00CD5A46">
        <w:t>products</w:t>
      </w:r>
      <w:r w:rsidR="0045454E" w:rsidRPr="00CD5A46">
        <w:t>.</w:t>
      </w:r>
      <w:bookmarkEnd w:id="108"/>
      <w:bookmarkEnd w:id="109"/>
    </w:p>
    <w:p w14:paraId="0BBE2D24" w14:textId="77777777" w:rsidR="00265A2E" w:rsidRPr="00CD5A46" w:rsidRDefault="0096683F" w:rsidP="008818E0">
      <w:pPr>
        <w:pStyle w:val="Heading3"/>
        <w:spacing w:before="0" w:after="0"/>
        <w:contextualSpacing/>
        <w:jc w:val="both"/>
      </w:pPr>
      <w:bookmarkStart w:id="110" w:name="_Toc375308130"/>
      <w:bookmarkStart w:id="111" w:name="_Toc375572532"/>
      <w:proofErr w:type="gramStart"/>
      <w:r w:rsidRPr="00CD5A46">
        <w:t>Description of t</w:t>
      </w:r>
      <w:r w:rsidR="00265A2E" w:rsidRPr="00CD5A46">
        <w:t>he benefits of printing in duplex mode (for TEC products having a duplex function)</w:t>
      </w:r>
      <w:r w:rsidR="0045454E" w:rsidRPr="00CD5A46">
        <w:t>.</w:t>
      </w:r>
      <w:bookmarkEnd w:id="110"/>
      <w:bookmarkEnd w:id="111"/>
      <w:proofErr w:type="gramEnd"/>
    </w:p>
    <w:p w14:paraId="19D6844A" w14:textId="77777777" w:rsidR="00265A2E" w:rsidRPr="00CD5A46" w:rsidRDefault="00265A2E" w:rsidP="008818E0">
      <w:pPr>
        <w:pStyle w:val="Heading3"/>
        <w:spacing w:before="0" w:after="0"/>
        <w:contextualSpacing/>
        <w:jc w:val="both"/>
      </w:pPr>
      <w:bookmarkStart w:id="112" w:name="_Ref253732105"/>
      <w:bookmarkStart w:id="113" w:name="_Toc375308131"/>
      <w:bookmarkStart w:id="114" w:name="_Toc375572533"/>
      <w:proofErr w:type="gramStart"/>
      <w:r w:rsidRPr="00CD5A46">
        <w:t>The environmental benefits of power management</w:t>
      </w:r>
      <w:bookmarkEnd w:id="112"/>
      <w:r w:rsidR="0045454E" w:rsidRPr="00CD5A46">
        <w:t>.</w:t>
      </w:r>
      <w:bookmarkEnd w:id="113"/>
      <w:bookmarkEnd w:id="114"/>
      <w:proofErr w:type="gramEnd"/>
      <w:r w:rsidRPr="00CD5A46">
        <w:t xml:space="preserve"> </w:t>
      </w:r>
    </w:p>
    <w:p w14:paraId="559DC5ED" w14:textId="77777777" w:rsidR="00CC2A38" w:rsidRPr="00CD5A46" w:rsidRDefault="00CC2A38" w:rsidP="008818E0">
      <w:pPr>
        <w:tabs>
          <w:tab w:val="left" w:pos="2160"/>
        </w:tabs>
        <w:ind w:left="360"/>
        <w:contextualSpacing/>
        <w:jc w:val="both"/>
      </w:pPr>
    </w:p>
    <w:p w14:paraId="20BEF409" w14:textId="6F9A35FE" w:rsidR="00265A2E" w:rsidRPr="00CD5A46" w:rsidRDefault="00265A2E" w:rsidP="008818E0">
      <w:pPr>
        <w:tabs>
          <w:tab w:val="left" w:pos="2160"/>
        </w:tabs>
        <w:ind w:left="360"/>
        <w:contextualSpacing/>
        <w:jc w:val="both"/>
        <w:rPr>
          <w:strike/>
        </w:rPr>
      </w:pPr>
      <w:r w:rsidRPr="00CD5A46">
        <w:t xml:space="preserve">The information as described in </w:t>
      </w:r>
      <w:r w:rsidRPr="00F0119B">
        <w:t>sections</w:t>
      </w:r>
      <w:r w:rsidR="00CC2A38" w:rsidRPr="00F0119B">
        <w:t xml:space="preserve"> </w:t>
      </w:r>
      <w:r w:rsidR="00F0119B" w:rsidRPr="00D74763">
        <w:rPr>
          <w:highlight w:val="yellow"/>
        </w:rPr>
        <w:t xml:space="preserve">6.1.1 </w:t>
      </w:r>
      <w:r w:rsidRPr="00D74763">
        <w:rPr>
          <w:highlight w:val="yellow"/>
        </w:rPr>
        <w:t xml:space="preserve">through </w:t>
      </w:r>
      <w:r w:rsidR="00A80298" w:rsidRPr="00D74763">
        <w:rPr>
          <w:highlight w:val="yellow"/>
        </w:rPr>
        <w:t>6.1.</w:t>
      </w:r>
      <w:r w:rsidR="00DD6A6A" w:rsidRPr="00D74763">
        <w:rPr>
          <w:highlight w:val="yellow"/>
        </w:rPr>
        <w:t>4</w:t>
      </w:r>
      <w:r w:rsidR="00DD6A6A" w:rsidRPr="00F0119B">
        <w:t xml:space="preserve"> </w:t>
      </w:r>
      <w:r w:rsidR="00BD4E02" w:rsidRPr="00F0119B">
        <w:t>shall</w:t>
      </w:r>
      <w:r w:rsidR="00BD4E02" w:rsidRPr="00CD5A46">
        <w:t xml:space="preserve"> </w:t>
      </w:r>
      <w:r w:rsidRPr="00CD5A46">
        <w:t xml:space="preserve">be </w:t>
      </w:r>
      <w:r w:rsidR="0096683F" w:rsidRPr="00CD5A46">
        <w:t xml:space="preserve">provided </w:t>
      </w:r>
      <w:r w:rsidRPr="00CD5A46">
        <w:t xml:space="preserve">in the form of compact </w:t>
      </w:r>
      <w:r w:rsidR="006049B1" w:rsidRPr="00CD5A46">
        <w:t xml:space="preserve">statements. </w:t>
      </w:r>
    </w:p>
    <w:p w14:paraId="58A4B610" w14:textId="77777777" w:rsidR="00265A2E" w:rsidRPr="00CD5A46" w:rsidRDefault="00265A2E" w:rsidP="00E26557">
      <w:pPr>
        <w:tabs>
          <w:tab w:val="left" w:pos="2160"/>
        </w:tabs>
        <w:contextualSpacing/>
        <w:jc w:val="both"/>
      </w:pPr>
    </w:p>
    <w:p w14:paraId="41E977E0" w14:textId="77777777" w:rsidR="00265A2E" w:rsidRDefault="00B1179F" w:rsidP="008818E0">
      <w:pPr>
        <w:tabs>
          <w:tab w:val="left" w:pos="2160"/>
        </w:tabs>
        <w:ind w:left="360"/>
        <w:contextualSpacing/>
        <w:jc w:val="both"/>
      </w:pPr>
      <w:r w:rsidRPr="00CD5A46">
        <w:t>P</w:t>
      </w:r>
      <w:r w:rsidR="00826972" w:rsidRPr="00CD5A46">
        <w:t xml:space="preserve">aragraph </w:t>
      </w:r>
      <w:r w:rsidR="00A47679">
        <w:fldChar w:fldCharType="begin"/>
      </w:r>
      <w:r w:rsidR="00A47679">
        <w:instrText xml:space="preserve"> REF _Ref253735753 \r \h  \* MERGEFORMAT </w:instrText>
      </w:r>
      <w:r w:rsidR="00A47679">
        <w:fldChar w:fldCharType="separate"/>
      </w:r>
      <w:r w:rsidR="00B675AF" w:rsidRPr="00B675AF">
        <w:rPr>
          <w:highlight w:val="yellow"/>
        </w:rPr>
        <w:t>6.1</w:t>
      </w:r>
      <w:r w:rsidR="00A47679">
        <w:fldChar w:fldCharType="end"/>
      </w:r>
      <w:r w:rsidR="00376BA2" w:rsidRPr="00CD5A46">
        <w:t xml:space="preserve"> </w:t>
      </w:r>
      <w:r w:rsidR="00826972" w:rsidRPr="00CD5A46">
        <w:t>a</w:t>
      </w:r>
      <w:r w:rsidR="00265A2E" w:rsidRPr="00CD5A46">
        <w:t xml:space="preserve">pplies to: all </w:t>
      </w:r>
      <w:r w:rsidR="00AF7732" w:rsidRPr="00CD5A46">
        <w:t xml:space="preserve">new </w:t>
      </w:r>
      <w:r w:rsidR="00EE4971" w:rsidRPr="00CD5A46">
        <w:t xml:space="preserve">product </w:t>
      </w:r>
      <w:r w:rsidR="00AF7732" w:rsidRPr="00CD5A46">
        <w:t>models introduced</w:t>
      </w:r>
      <w:r w:rsidR="00265A2E" w:rsidRPr="00CD5A46">
        <w:t xml:space="preserve"> after </w:t>
      </w:r>
      <w:r w:rsidR="0045454E" w:rsidRPr="00CD5A46">
        <w:t xml:space="preserve">1 </w:t>
      </w:r>
      <w:r w:rsidR="00265A2E" w:rsidRPr="00CD5A46">
        <w:t>January 2012. Paper weight mentioned in the pop-up window</w:t>
      </w:r>
      <w:r w:rsidR="000434F6" w:rsidRPr="00CD5A46">
        <w:t xml:space="preserve"> (or alternatives as described above</w:t>
      </w:r>
      <w:r w:rsidR="00DC7F9D" w:rsidRPr="00CD5A46">
        <w:t xml:space="preserve">) </w:t>
      </w:r>
      <w:r w:rsidR="00BD4E02" w:rsidRPr="00CD5A46">
        <w:t>shall</w:t>
      </w:r>
      <w:r w:rsidR="00265A2E" w:rsidRPr="00CD5A46">
        <w:t xml:space="preserve"> be consistent with the paper weight specifications of the product.</w:t>
      </w:r>
    </w:p>
    <w:p w14:paraId="42B8DC06" w14:textId="77777777" w:rsidR="00B268EB" w:rsidRDefault="00B268EB" w:rsidP="008818E0">
      <w:pPr>
        <w:tabs>
          <w:tab w:val="left" w:pos="2160"/>
        </w:tabs>
        <w:ind w:left="360"/>
        <w:contextualSpacing/>
        <w:jc w:val="both"/>
      </w:pPr>
    </w:p>
    <w:p w14:paraId="471125BA" w14:textId="77777777" w:rsidR="00A26371" w:rsidRDefault="00A26371" w:rsidP="008818E0">
      <w:pPr>
        <w:pStyle w:val="Heading2"/>
        <w:spacing w:before="0" w:after="0"/>
        <w:contextualSpacing/>
        <w:jc w:val="both"/>
        <w:rPr>
          <w:b/>
          <w:highlight w:val="yellow"/>
        </w:rPr>
      </w:pPr>
      <w:bookmarkStart w:id="115" w:name="_Toc375308132"/>
      <w:bookmarkStart w:id="116" w:name="_Toc375572534"/>
      <w:r w:rsidRPr="00A26371">
        <w:rPr>
          <w:b/>
          <w:highlight w:val="yellow"/>
        </w:rPr>
        <w:t>Availability of spare parts</w:t>
      </w:r>
      <w:bookmarkEnd w:id="115"/>
      <w:bookmarkEnd w:id="116"/>
    </w:p>
    <w:p w14:paraId="140C9B92" w14:textId="77777777" w:rsidR="00B268EB" w:rsidRPr="00B268EB" w:rsidRDefault="00B268EB" w:rsidP="008818E0">
      <w:pPr>
        <w:jc w:val="both"/>
        <w:rPr>
          <w:highlight w:val="yellow"/>
        </w:rPr>
      </w:pPr>
    </w:p>
    <w:p w14:paraId="77E12ED4" w14:textId="420944A7" w:rsidR="00E845DA" w:rsidRPr="00E845DA" w:rsidRDefault="00E845DA" w:rsidP="008818E0">
      <w:pPr>
        <w:pStyle w:val="Heading1"/>
        <w:numPr>
          <w:ilvl w:val="0"/>
          <w:numId w:val="0"/>
        </w:numPr>
        <w:spacing w:before="0" w:after="0"/>
        <w:ind w:left="360"/>
        <w:contextualSpacing/>
        <w:jc w:val="both"/>
        <w:rPr>
          <w:b w:val="0"/>
          <w:sz w:val="20"/>
          <w:szCs w:val="20"/>
          <w:highlight w:val="yellow"/>
        </w:rPr>
      </w:pPr>
      <w:bookmarkStart w:id="117" w:name="_Toc375308133"/>
      <w:bookmarkStart w:id="118" w:name="_Toc375572535"/>
      <w:r w:rsidRPr="00E845DA">
        <w:rPr>
          <w:b w:val="0"/>
          <w:sz w:val="20"/>
          <w:szCs w:val="20"/>
          <w:highlight w:val="yellow"/>
        </w:rPr>
        <w:t xml:space="preserve">For new models introduced after 1 January </w:t>
      </w:r>
      <w:r w:rsidR="00AB4893" w:rsidRPr="00E845DA">
        <w:rPr>
          <w:b w:val="0"/>
          <w:sz w:val="20"/>
          <w:szCs w:val="20"/>
          <w:highlight w:val="yellow"/>
        </w:rPr>
        <w:t>201</w:t>
      </w:r>
      <w:r w:rsidR="00AB4893">
        <w:rPr>
          <w:b w:val="0"/>
          <w:sz w:val="20"/>
          <w:szCs w:val="20"/>
          <w:highlight w:val="yellow"/>
        </w:rPr>
        <w:t>5</w:t>
      </w:r>
      <w:r w:rsidRPr="00E845DA">
        <w:rPr>
          <w:b w:val="0"/>
          <w:sz w:val="20"/>
          <w:szCs w:val="20"/>
          <w:highlight w:val="yellow"/>
        </w:rPr>
        <w:t>, the manufacturer shall declare if spare parts are available, and if available, the length of time that spare parts are available after the end of production. The following information shall be provided to purchasers:</w:t>
      </w:r>
      <w:bookmarkEnd w:id="117"/>
      <w:bookmarkEnd w:id="118"/>
    </w:p>
    <w:p w14:paraId="14CE6830" w14:textId="77777777" w:rsidR="00E845DA" w:rsidRPr="00613D34" w:rsidRDefault="00E845DA" w:rsidP="008818E0">
      <w:pPr>
        <w:pStyle w:val="NormalWeb"/>
        <w:numPr>
          <w:ilvl w:val="0"/>
          <w:numId w:val="15"/>
        </w:numPr>
        <w:spacing w:before="0" w:beforeAutospacing="0" w:after="0" w:afterAutospacing="0"/>
        <w:contextualSpacing/>
        <w:jc w:val="both"/>
        <w:rPr>
          <w:rFonts w:ascii="Arial" w:hAnsi="Arial" w:cs="Arial"/>
          <w:sz w:val="20"/>
          <w:highlight w:val="yellow"/>
        </w:rPr>
      </w:pPr>
      <w:r w:rsidRPr="00613D34">
        <w:rPr>
          <w:rFonts w:ascii="Arial" w:hAnsi="Arial" w:cs="Arial"/>
          <w:sz w:val="20"/>
          <w:highlight w:val="yellow"/>
        </w:rPr>
        <w:t>If spare parts are available, and if available the length of time that they are planned to be available after the end of production.</w:t>
      </w:r>
    </w:p>
    <w:p w14:paraId="4D7FC5F0" w14:textId="77777777" w:rsidR="00E845DA" w:rsidRPr="00613D34" w:rsidRDefault="00E845DA" w:rsidP="008818E0">
      <w:pPr>
        <w:pStyle w:val="NormalWeb"/>
        <w:numPr>
          <w:ilvl w:val="0"/>
          <w:numId w:val="15"/>
        </w:numPr>
        <w:spacing w:before="0" w:beforeAutospacing="0" w:after="0" w:afterAutospacing="0"/>
        <w:contextualSpacing/>
        <w:jc w:val="both"/>
        <w:rPr>
          <w:rFonts w:ascii="Arial" w:hAnsi="Arial" w:cs="Arial"/>
          <w:sz w:val="20"/>
          <w:highlight w:val="yellow"/>
        </w:rPr>
      </w:pPr>
      <w:r w:rsidRPr="00613D34">
        <w:rPr>
          <w:rFonts w:ascii="Arial" w:hAnsi="Arial" w:cs="Arial"/>
          <w:sz w:val="20"/>
          <w:highlight w:val="yellow"/>
        </w:rPr>
        <w:t>If spare parts are available, how to obtain spare parts (or, at the manufacturer’s option, compatible spare parts from a different supplier).</w:t>
      </w:r>
    </w:p>
    <w:p w14:paraId="717414F9" w14:textId="77777777" w:rsidR="00D74763" w:rsidRDefault="00D74763" w:rsidP="008818E0">
      <w:pPr>
        <w:pStyle w:val="NormalWeb"/>
        <w:spacing w:before="0" w:beforeAutospacing="0" w:after="0" w:afterAutospacing="0"/>
        <w:contextualSpacing/>
        <w:jc w:val="both"/>
        <w:rPr>
          <w:rFonts w:ascii="Arial" w:hAnsi="Arial" w:cs="Arial"/>
          <w:sz w:val="20"/>
          <w:highlight w:val="yellow"/>
        </w:rPr>
      </w:pPr>
    </w:p>
    <w:p w14:paraId="39D9737C" w14:textId="77777777" w:rsidR="00E845DA" w:rsidRPr="00613D34" w:rsidRDefault="00E845DA" w:rsidP="008818E0">
      <w:pPr>
        <w:pStyle w:val="NormalWeb"/>
        <w:spacing w:before="0" w:beforeAutospacing="0" w:after="0" w:afterAutospacing="0"/>
        <w:ind w:left="360"/>
        <w:contextualSpacing/>
        <w:jc w:val="both"/>
        <w:rPr>
          <w:rFonts w:ascii="Arial" w:hAnsi="Arial" w:cs="Arial"/>
          <w:sz w:val="20"/>
        </w:rPr>
      </w:pPr>
      <w:r w:rsidRPr="00613D34">
        <w:rPr>
          <w:rFonts w:ascii="Arial" w:hAnsi="Arial" w:cs="Arial"/>
          <w:sz w:val="20"/>
          <w:highlight w:val="yellow"/>
        </w:rPr>
        <w:t>Parts to be replaced (spare parts) are those parts which usually have the potential to fail during the typical use of the product. In contrast, those parts whose life cycle usually exceeds the usual life of the product do not have to be held available as spare parts.</w:t>
      </w:r>
      <w:r w:rsidRPr="00613D34">
        <w:rPr>
          <w:rFonts w:ascii="Arial" w:hAnsi="Arial" w:cs="Arial"/>
          <w:sz w:val="20"/>
        </w:rPr>
        <w:t xml:space="preserve"> </w:t>
      </w:r>
    </w:p>
    <w:p w14:paraId="66303A14" w14:textId="77777777" w:rsidR="00E845DA" w:rsidRPr="00613D34" w:rsidRDefault="00E845DA" w:rsidP="008818E0">
      <w:pPr>
        <w:contextualSpacing/>
        <w:jc w:val="both"/>
      </w:pPr>
    </w:p>
    <w:p w14:paraId="63310FE5" w14:textId="77777777" w:rsidR="00265A2E" w:rsidRPr="00E845DA" w:rsidRDefault="00265A2E" w:rsidP="008818E0">
      <w:pPr>
        <w:pStyle w:val="Heading2"/>
        <w:numPr>
          <w:ilvl w:val="1"/>
          <w:numId w:val="17"/>
        </w:numPr>
        <w:spacing w:before="0" w:after="0"/>
        <w:contextualSpacing/>
        <w:jc w:val="both"/>
        <w:rPr>
          <w:b/>
        </w:rPr>
      </w:pPr>
      <w:bookmarkStart w:id="119" w:name="_Ref253735999"/>
      <w:bookmarkStart w:id="120" w:name="_Toc375308134"/>
      <w:bookmarkStart w:id="121" w:name="_Toc375572536"/>
      <w:r w:rsidRPr="00E845DA">
        <w:rPr>
          <w:b/>
        </w:rPr>
        <w:t>Cartridge disposal and treatment</w:t>
      </w:r>
      <w:bookmarkEnd w:id="119"/>
      <w:bookmarkEnd w:id="120"/>
      <w:bookmarkEnd w:id="121"/>
    </w:p>
    <w:p w14:paraId="6C3B9CFB" w14:textId="77777777" w:rsidR="00265A2E" w:rsidRPr="00CD5A46" w:rsidRDefault="00265A2E" w:rsidP="008818E0">
      <w:pPr>
        <w:tabs>
          <w:tab w:val="left" w:pos="2160"/>
        </w:tabs>
        <w:ind w:left="360"/>
        <w:contextualSpacing/>
        <w:jc w:val="both"/>
        <w:rPr>
          <w:u w:val="single"/>
        </w:rPr>
      </w:pPr>
    </w:p>
    <w:p w14:paraId="46022C63" w14:textId="77777777" w:rsidR="00265A2E" w:rsidRPr="00CD5A46" w:rsidRDefault="009B0734" w:rsidP="008818E0">
      <w:pPr>
        <w:tabs>
          <w:tab w:val="left" w:pos="2160"/>
        </w:tabs>
        <w:ind w:left="360"/>
        <w:contextualSpacing/>
        <w:jc w:val="both"/>
      </w:pPr>
      <w:r w:rsidRPr="00CD5A46">
        <w:t>For products placed on the market after 1 January 201</w:t>
      </w:r>
      <w:r w:rsidR="007B7F3F" w:rsidRPr="00CD5A46">
        <w:t>2</w:t>
      </w:r>
      <w:r w:rsidRPr="00CD5A46">
        <w:t xml:space="preserve">, </w:t>
      </w:r>
      <w:r w:rsidR="00265A2E" w:rsidRPr="00CD5A46">
        <w:t xml:space="preserve">Signatories </w:t>
      </w:r>
      <w:r w:rsidR="00BD4E02" w:rsidRPr="00CD5A46">
        <w:t xml:space="preserve">shall </w:t>
      </w:r>
      <w:r w:rsidR="00265A2E" w:rsidRPr="00CD5A46">
        <w:t>provide end-users with information on suitable end</w:t>
      </w:r>
      <w:r w:rsidRPr="00CD5A46">
        <w:t>-</w:t>
      </w:r>
      <w:r w:rsidR="00265A2E" w:rsidRPr="00CD5A46">
        <w:t>of</w:t>
      </w:r>
      <w:r w:rsidRPr="00CD5A46">
        <w:t>-</w:t>
      </w:r>
      <w:r w:rsidR="00265A2E" w:rsidRPr="00CD5A46">
        <w:t>life management options for used cartridges</w:t>
      </w:r>
      <w:r w:rsidR="00265A2E" w:rsidRPr="00CD5A46">
        <w:rPr>
          <w:rFonts w:ascii="Arial (W1)" w:hAnsi="Arial (W1)"/>
        </w:rPr>
        <w:t xml:space="preserve">. </w:t>
      </w:r>
      <w:r w:rsidR="00C06D1A" w:rsidRPr="00BE4E49">
        <w:t>This</w:t>
      </w:r>
      <w:r w:rsidR="00C06D1A" w:rsidRPr="00CD5A46">
        <w:rPr>
          <w:rFonts w:ascii="Arial (W1)" w:hAnsi="Arial (W1)"/>
        </w:rPr>
        <w:t xml:space="preserve"> i</w:t>
      </w:r>
      <w:r w:rsidR="00265A2E" w:rsidRPr="00CD5A46">
        <w:t xml:space="preserve">nformation </w:t>
      </w:r>
      <w:r w:rsidR="00C06D1A" w:rsidRPr="00CD5A46">
        <w:t>may</w:t>
      </w:r>
      <w:r w:rsidR="00265A2E" w:rsidRPr="00CD5A46">
        <w:t xml:space="preserve"> be communicated via a company website.</w:t>
      </w:r>
    </w:p>
    <w:p w14:paraId="5C6DBEAF" w14:textId="77777777" w:rsidR="00265A2E" w:rsidRPr="00CD5A46" w:rsidRDefault="00265A2E" w:rsidP="008818E0">
      <w:pPr>
        <w:tabs>
          <w:tab w:val="left" w:pos="2160"/>
        </w:tabs>
        <w:contextualSpacing/>
        <w:jc w:val="both"/>
      </w:pPr>
    </w:p>
    <w:p w14:paraId="79392EEA" w14:textId="77777777" w:rsidR="00265A2E" w:rsidRPr="00A80298" w:rsidRDefault="00265A2E" w:rsidP="008818E0">
      <w:pPr>
        <w:pStyle w:val="Heading2"/>
        <w:tabs>
          <w:tab w:val="left" w:pos="2160"/>
        </w:tabs>
        <w:spacing w:before="0" w:after="0"/>
        <w:contextualSpacing/>
        <w:jc w:val="both"/>
        <w:rPr>
          <w:b/>
        </w:rPr>
      </w:pPr>
      <w:bookmarkStart w:id="122" w:name="_Ref253735823"/>
      <w:bookmarkStart w:id="123" w:name="_Toc375308135"/>
      <w:bookmarkStart w:id="124" w:name="_Toc375572537"/>
      <w:r w:rsidRPr="00A80298">
        <w:rPr>
          <w:b/>
        </w:rPr>
        <w:lastRenderedPageBreak/>
        <w:t>Information on product environmental characteristics</w:t>
      </w:r>
      <w:bookmarkEnd w:id="122"/>
      <w:r w:rsidR="00D60AB5" w:rsidRPr="00A80298">
        <w:rPr>
          <w:b/>
        </w:rPr>
        <w:t xml:space="preserve"> </w:t>
      </w:r>
      <w:r w:rsidR="0096683F" w:rsidRPr="00A80298">
        <w:rPr>
          <w:b/>
        </w:rPr>
        <w:t>to be provided by Signatories</w:t>
      </w:r>
      <w:bookmarkEnd w:id="123"/>
      <w:bookmarkEnd w:id="124"/>
      <w:r w:rsidR="00D60AB5" w:rsidRPr="00A80298">
        <w:rPr>
          <w:b/>
        </w:rPr>
        <w:t xml:space="preserve"> </w:t>
      </w:r>
    </w:p>
    <w:p w14:paraId="21C9C411" w14:textId="77777777" w:rsidR="00265A2E" w:rsidRPr="00CD5A46" w:rsidRDefault="00265A2E" w:rsidP="008818E0">
      <w:pPr>
        <w:tabs>
          <w:tab w:val="left" w:pos="2160"/>
        </w:tabs>
        <w:contextualSpacing/>
        <w:jc w:val="both"/>
        <w:rPr>
          <w:u w:val="single"/>
        </w:rPr>
      </w:pPr>
    </w:p>
    <w:p w14:paraId="0F54668F" w14:textId="695A3B33" w:rsidR="00E26557" w:rsidRDefault="00265A2E" w:rsidP="008818E0">
      <w:pPr>
        <w:tabs>
          <w:tab w:val="left" w:pos="2160"/>
        </w:tabs>
        <w:ind w:left="360"/>
        <w:contextualSpacing/>
        <w:jc w:val="both"/>
      </w:pPr>
      <w:r w:rsidRPr="00CD5A46">
        <w:t>The following applies to products placed on the market after 1 January 201</w:t>
      </w:r>
      <w:r w:rsidR="00DC7F9D" w:rsidRPr="00CD5A46">
        <w:t>2</w:t>
      </w:r>
      <w:bookmarkStart w:id="125" w:name="_Ref253735857"/>
      <w:r w:rsidR="00E26557">
        <w:t>:</w:t>
      </w:r>
    </w:p>
    <w:p w14:paraId="6D1454BC" w14:textId="06419652" w:rsidR="00A80298" w:rsidRDefault="00265A2E" w:rsidP="008818E0">
      <w:pPr>
        <w:pStyle w:val="Heading3"/>
        <w:spacing w:before="0" w:after="0"/>
        <w:contextualSpacing/>
        <w:jc w:val="both"/>
        <w:rPr>
          <w:highlight w:val="yellow"/>
        </w:rPr>
      </w:pPr>
      <w:bookmarkStart w:id="126" w:name="_Toc375308136"/>
      <w:bookmarkStart w:id="127" w:name="_Toc375572538"/>
      <w:r w:rsidRPr="001F79B7">
        <w:t>Signator</w:t>
      </w:r>
      <w:r w:rsidR="00C06D1A" w:rsidRPr="001F79B7">
        <w:t>ies</w:t>
      </w:r>
      <w:r w:rsidRPr="001F79B7">
        <w:t xml:space="preserve"> </w:t>
      </w:r>
      <w:r w:rsidR="00BD4E02" w:rsidRPr="001F79B7">
        <w:t xml:space="preserve">shall </w:t>
      </w:r>
      <w:r w:rsidRPr="001F79B7">
        <w:t xml:space="preserve">make information on the environmental performance of their </w:t>
      </w:r>
      <w:r w:rsidR="001F79B7">
        <w:t>models</w:t>
      </w:r>
      <w:r w:rsidR="001F79B7" w:rsidRPr="001F79B7">
        <w:t xml:space="preserve"> </w:t>
      </w:r>
      <w:r w:rsidRPr="001F79B7">
        <w:t xml:space="preserve">available to customers. </w:t>
      </w:r>
      <w:r w:rsidRPr="00A80298">
        <w:rPr>
          <w:highlight w:val="yellow"/>
        </w:rPr>
        <w:t xml:space="preserve">This </w:t>
      </w:r>
      <w:r w:rsidR="001F79B7" w:rsidRPr="00A80298">
        <w:rPr>
          <w:highlight w:val="yellow"/>
        </w:rPr>
        <w:t>should include as a minimum the mandatory information required in ECMA 370.</w:t>
      </w:r>
      <w:bookmarkEnd w:id="126"/>
      <w:bookmarkEnd w:id="127"/>
      <w:r w:rsidR="001F79B7" w:rsidRPr="00A80298">
        <w:rPr>
          <w:highlight w:val="yellow"/>
        </w:rPr>
        <w:t xml:space="preserve"> </w:t>
      </w:r>
      <w:bookmarkStart w:id="128" w:name="_Ref253735862"/>
      <w:bookmarkEnd w:id="125"/>
    </w:p>
    <w:p w14:paraId="459E12FB" w14:textId="77777777" w:rsidR="00E26557" w:rsidRPr="00E26557" w:rsidRDefault="00E26557" w:rsidP="00E26557">
      <w:pPr>
        <w:rPr>
          <w:highlight w:val="yellow"/>
        </w:rPr>
      </w:pPr>
    </w:p>
    <w:p w14:paraId="7B53B717" w14:textId="7AB5A517" w:rsidR="00CF20AE" w:rsidRPr="00CF20AE" w:rsidRDefault="00CF20AE" w:rsidP="008818E0">
      <w:pPr>
        <w:pStyle w:val="Heading3"/>
        <w:spacing w:before="0" w:after="0"/>
        <w:contextualSpacing/>
        <w:jc w:val="both"/>
        <w:rPr>
          <w:highlight w:val="yellow"/>
        </w:rPr>
      </w:pPr>
      <w:bookmarkStart w:id="129" w:name="_Toc375308137"/>
      <w:bookmarkStart w:id="130" w:name="_Toc375572539"/>
      <w:r w:rsidRPr="001F79B7">
        <w:t xml:space="preserve">Signatories shall make information on inkjet and toner cartridge yield available to customers </w:t>
      </w:r>
      <w:r w:rsidRPr="00B75B87">
        <w:t xml:space="preserve">based on the </w:t>
      </w:r>
      <w:r w:rsidRPr="009D64B6">
        <w:t>measurement standards specified, for example, in ISO/IEC 24711:2006 (for ink), ISO/IEC 19752</w:t>
      </w:r>
      <w:r w:rsidRPr="00AD34F5">
        <w:t>:2004 (for monochrome toner), ISO/IEC 19798:2006 (for colour toner), or through other company methods.</w:t>
      </w:r>
      <w:bookmarkEnd w:id="129"/>
      <w:bookmarkEnd w:id="130"/>
    </w:p>
    <w:p w14:paraId="4A77731B" w14:textId="1CCC19BF" w:rsidR="00CF20AE" w:rsidRPr="00A80298" w:rsidRDefault="00CF20AE" w:rsidP="008818E0">
      <w:pPr>
        <w:tabs>
          <w:tab w:val="left" w:pos="2160"/>
        </w:tabs>
        <w:ind w:left="360"/>
        <w:contextualSpacing/>
        <w:jc w:val="both"/>
        <w:rPr>
          <w:highlight w:val="yellow"/>
        </w:rPr>
      </w:pPr>
    </w:p>
    <w:p w14:paraId="2BB58AE5" w14:textId="6E9E2D2F" w:rsidR="00380893" w:rsidRDefault="00380893" w:rsidP="008818E0">
      <w:pPr>
        <w:pStyle w:val="Heading2"/>
        <w:spacing w:before="0" w:after="0"/>
        <w:contextualSpacing/>
        <w:jc w:val="both"/>
        <w:rPr>
          <w:b/>
        </w:rPr>
      </w:pPr>
      <w:bookmarkStart w:id="131" w:name="_Toc375308138"/>
      <w:bookmarkStart w:id="132" w:name="_Toc375572540"/>
      <w:bookmarkEnd w:id="128"/>
      <w:r w:rsidRPr="00CF20AE">
        <w:rPr>
          <w:b/>
        </w:rPr>
        <w:t>Exemption for small numbers</w:t>
      </w:r>
      <w:bookmarkEnd w:id="131"/>
      <w:bookmarkEnd w:id="132"/>
    </w:p>
    <w:p w14:paraId="48DD9D8F" w14:textId="77777777" w:rsidR="00B268EB" w:rsidRPr="00B268EB" w:rsidRDefault="00B268EB" w:rsidP="008818E0">
      <w:pPr>
        <w:jc w:val="both"/>
      </w:pPr>
    </w:p>
    <w:p w14:paraId="1118E2BB" w14:textId="0C99C991" w:rsidR="00380893" w:rsidRDefault="00380893" w:rsidP="008818E0">
      <w:pPr>
        <w:pStyle w:val="Heading2"/>
        <w:numPr>
          <w:ilvl w:val="0"/>
          <w:numId w:val="0"/>
        </w:numPr>
        <w:spacing w:before="0" w:after="0"/>
        <w:ind w:left="360"/>
        <w:contextualSpacing/>
        <w:jc w:val="both"/>
      </w:pPr>
      <w:bookmarkStart w:id="133" w:name="_Toc375308139"/>
      <w:bookmarkStart w:id="134" w:name="_Toc375572541"/>
      <w:r>
        <w:t xml:space="preserve">An exemption </w:t>
      </w:r>
      <w:r w:rsidRPr="00E802E4">
        <w:rPr>
          <w:lang w:eastAsia="fr-FR"/>
        </w:rPr>
        <w:t>from the criteria in section</w:t>
      </w:r>
      <w:r>
        <w:rPr>
          <w:lang w:eastAsia="fr-FR"/>
        </w:rPr>
        <w:t>s</w:t>
      </w:r>
      <w:r w:rsidRPr="00E802E4">
        <w:rPr>
          <w:lang w:eastAsia="fr-FR"/>
        </w:rPr>
        <w:t xml:space="preserve"> </w:t>
      </w:r>
      <w:r w:rsidRPr="00380893">
        <w:rPr>
          <w:highlight w:val="yellow"/>
          <w:lang w:eastAsia="fr-FR"/>
        </w:rPr>
        <w:t>6</w:t>
      </w:r>
      <w:r>
        <w:rPr>
          <w:highlight w:val="yellow"/>
          <w:lang w:eastAsia="fr-FR"/>
        </w:rPr>
        <w:t xml:space="preserve">.1, </w:t>
      </w:r>
      <w:r w:rsidRPr="00380893">
        <w:rPr>
          <w:highlight w:val="yellow"/>
          <w:lang w:eastAsia="fr-FR"/>
        </w:rPr>
        <w:t>6.</w:t>
      </w:r>
      <w:r>
        <w:rPr>
          <w:highlight w:val="yellow"/>
          <w:lang w:eastAsia="fr-FR"/>
        </w:rPr>
        <w:t xml:space="preserve">3 and 6.4 </w:t>
      </w:r>
      <w:r w:rsidRPr="00E802E4">
        <w:rPr>
          <w:lang w:eastAsia="fr-FR"/>
        </w:rPr>
        <w:t>will be acceptable for models that are sold in small numbers (less than 5,000 per year), on the ground that the cost of implementing the criteria is disproportionate to the sales of the product. Exceptions should be reported to the Independent Inspector (see Annex C, section 4 for reporting template).</w:t>
      </w:r>
      <w:bookmarkEnd w:id="133"/>
      <w:bookmarkEnd w:id="134"/>
      <w:r w:rsidRPr="00E802E4">
        <w:t xml:space="preserve"> </w:t>
      </w:r>
    </w:p>
    <w:p w14:paraId="78F24672" w14:textId="77777777" w:rsidR="00B268EB" w:rsidRPr="00B268EB" w:rsidRDefault="00B268EB" w:rsidP="008818E0">
      <w:pPr>
        <w:jc w:val="both"/>
      </w:pPr>
    </w:p>
    <w:p w14:paraId="1CAC935F" w14:textId="77777777" w:rsidR="00380893" w:rsidRPr="00CD5A46" w:rsidRDefault="00380893" w:rsidP="008818E0">
      <w:pPr>
        <w:contextualSpacing/>
        <w:jc w:val="both"/>
      </w:pPr>
    </w:p>
    <w:p w14:paraId="0C3F6E2C" w14:textId="77777777" w:rsidR="009D64B6" w:rsidRPr="00A80298" w:rsidRDefault="009D64B6" w:rsidP="008818E0">
      <w:pPr>
        <w:pStyle w:val="Heading1"/>
        <w:spacing w:before="0" w:after="0"/>
        <w:contextualSpacing/>
        <w:jc w:val="both"/>
        <w:rPr>
          <w:highlight w:val="yellow"/>
        </w:rPr>
      </w:pPr>
      <w:bookmarkStart w:id="135" w:name="_Toc253736097"/>
      <w:bookmarkStart w:id="136" w:name="_Toc253736308"/>
      <w:bookmarkStart w:id="137" w:name="_Toc253736098"/>
      <w:bookmarkStart w:id="138" w:name="_Toc253736309"/>
      <w:bookmarkStart w:id="139" w:name="_Toc253736099"/>
      <w:bookmarkStart w:id="140" w:name="_Toc253736310"/>
      <w:bookmarkStart w:id="141" w:name="_Toc253736100"/>
      <w:bookmarkStart w:id="142" w:name="_Toc253736311"/>
      <w:bookmarkStart w:id="143" w:name="_Toc253736101"/>
      <w:bookmarkStart w:id="144" w:name="_Toc253736312"/>
      <w:bookmarkStart w:id="145" w:name="_Toc253736105"/>
      <w:bookmarkStart w:id="146" w:name="_Toc253736316"/>
      <w:bookmarkStart w:id="147" w:name="_Toc253736107"/>
      <w:bookmarkStart w:id="148" w:name="_Toc253736318"/>
      <w:bookmarkStart w:id="149" w:name="_Toc253736108"/>
      <w:bookmarkStart w:id="150" w:name="_Toc253736319"/>
      <w:bookmarkStart w:id="151" w:name="_Toc253736110"/>
      <w:bookmarkStart w:id="152" w:name="_Toc253736321"/>
      <w:bookmarkStart w:id="153" w:name="_Toc253736112"/>
      <w:bookmarkStart w:id="154" w:name="_Toc253736323"/>
      <w:bookmarkStart w:id="155" w:name="_Toc253736114"/>
      <w:bookmarkStart w:id="156" w:name="_Toc253736325"/>
      <w:bookmarkStart w:id="157" w:name="_Toc253736115"/>
      <w:bookmarkStart w:id="158" w:name="_Toc253736326"/>
      <w:bookmarkStart w:id="159" w:name="_Toc253736116"/>
      <w:bookmarkStart w:id="160" w:name="_Toc253736327"/>
      <w:bookmarkStart w:id="161" w:name="_Toc253736118"/>
      <w:bookmarkStart w:id="162" w:name="_Toc253736329"/>
      <w:bookmarkStart w:id="163" w:name="_Toc253736119"/>
      <w:bookmarkStart w:id="164" w:name="_Toc253736330"/>
      <w:bookmarkStart w:id="165" w:name="_Toc253736120"/>
      <w:bookmarkStart w:id="166" w:name="_Toc253736331"/>
      <w:bookmarkStart w:id="167" w:name="_Toc253736121"/>
      <w:bookmarkStart w:id="168" w:name="_Toc253736332"/>
      <w:bookmarkStart w:id="169" w:name="_Toc253736123"/>
      <w:bookmarkStart w:id="170" w:name="_Toc253736334"/>
      <w:bookmarkStart w:id="171" w:name="_Toc253736124"/>
      <w:bookmarkStart w:id="172" w:name="_Toc253736335"/>
      <w:bookmarkStart w:id="173" w:name="_Toc253736127"/>
      <w:bookmarkStart w:id="174" w:name="_Toc253736338"/>
      <w:bookmarkStart w:id="175" w:name="_Toc253736128"/>
      <w:bookmarkStart w:id="176" w:name="_Toc253736339"/>
      <w:bookmarkStart w:id="177" w:name="_Toc253736130"/>
      <w:bookmarkStart w:id="178" w:name="_Toc253736341"/>
      <w:bookmarkStart w:id="179" w:name="_Toc375572542"/>
      <w:bookmarkStart w:id="180" w:name="_Ref247709445"/>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A80298">
        <w:rPr>
          <w:highlight w:val="yellow"/>
        </w:rPr>
        <w:t>Independent Inspector</w:t>
      </w:r>
      <w:bookmarkEnd w:id="179"/>
    </w:p>
    <w:p w14:paraId="787246C7" w14:textId="77777777" w:rsidR="00A80298" w:rsidRPr="005754E1" w:rsidRDefault="00A80298" w:rsidP="008818E0">
      <w:pPr>
        <w:contextualSpacing/>
        <w:jc w:val="both"/>
        <w:rPr>
          <w:highlight w:val="yellow"/>
        </w:rPr>
      </w:pPr>
    </w:p>
    <w:p w14:paraId="5312345B" w14:textId="77777777" w:rsidR="00AD34F5" w:rsidRPr="005754E1" w:rsidRDefault="00AD34F5" w:rsidP="008818E0">
      <w:pPr>
        <w:ind w:left="360"/>
        <w:contextualSpacing/>
        <w:jc w:val="both"/>
        <w:rPr>
          <w:highlight w:val="yellow"/>
        </w:rPr>
      </w:pPr>
      <w:r w:rsidRPr="005754E1">
        <w:rPr>
          <w:highlight w:val="yellow"/>
        </w:rPr>
        <w:t xml:space="preserve">The Independent Inspector is an independent third party designated by the Steering Committee and who is tasked with, and responsible for, the collection and processing of information supplied by Signatories pursuant to Section </w:t>
      </w:r>
      <w:r w:rsidR="00EF7B6A" w:rsidRPr="005754E1">
        <w:rPr>
          <w:highlight w:val="yellow"/>
        </w:rPr>
        <w:t>7</w:t>
      </w:r>
      <w:r w:rsidR="001E38C6" w:rsidRPr="005754E1">
        <w:rPr>
          <w:highlight w:val="yellow"/>
        </w:rPr>
        <w:t xml:space="preserve">, </w:t>
      </w:r>
      <w:r w:rsidRPr="005754E1">
        <w:rPr>
          <w:highlight w:val="yellow"/>
        </w:rPr>
        <w:t>Annex B</w:t>
      </w:r>
      <w:r w:rsidR="001E38C6" w:rsidRPr="005754E1">
        <w:rPr>
          <w:highlight w:val="yellow"/>
        </w:rPr>
        <w:t xml:space="preserve"> and Annex C</w:t>
      </w:r>
      <w:r w:rsidRPr="005754E1">
        <w:rPr>
          <w:highlight w:val="yellow"/>
        </w:rPr>
        <w:t>, and determining a Signatory’s compliance with the Agreement in accordance with the commitments, as well as for the carrying out of audits.</w:t>
      </w:r>
    </w:p>
    <w:p w14:paraId="7C6F6ED5" w14:textId="77777777" w:rsidR="00AD34F5" w:rsidRPr="005754E1" w:rsidRDefault="00AD34F5" w:rsidP="008818E0">
      <w:pPr>
        <w:contextualSpacing/>
        <w:jc w:val="both"/>
        <w:rPr>
          <w:highlight w:val="yellow"/>
        </w:rPr>
      </w:pPr>
    </w:p>
    <w:p w14:paraId="59FBD12C" w14:textId="77777777" w:rsidR="009D64B6" w:rsidRPr="005754E1" w:rsidRDefault="00AD34F5" w:rsidP="008818E0">
      <w:pPr>
        <w:ind w:left="360"/>
        <w:contextualSpacing/>
        <w:jc w:val="both"/>
        <w:rPr>
          <w:highlight w:val="yellow"/>
        </w:rPr>
      </w:pPr>
      <w:r w:rsidRPr="005754E1">
        <w:rPr>
          <w:highlight w:val="yellow"/>
        </w:rPr>
        <w:t>The Steering Committee shall engage the services of the Independent Inspector upon terms and conditions that shall require undertakings of confidentiality from the Independent Inspector, and which shall also set out any requirements or applicable mechanisms for a process of appeal, in case this is ever be necessary. The Commission shall have the right to veto the choice of the Independent Inspector.</w:t>
      </w:r>
    </w:p>
    <w:p w14:paraId="2C945F20" w14:textId="77777777" w:rsidR="00AD34F5" w:rsidRPr="005754E1" w:rsidRDefault="00AD34F5" w:rsidP="008818E0">
      <w:pPr>
        <w:contextualSpacing/>
        <w:jc w:val="both"/>
        <w:rPr>
          <w:highlight w:val="yellow"/>
        </w:rPr>
      </w:pPr>
    </w:p>
    <w:p w14:paraId="531215CE" w14:textId="77777777" w:rsidR="00AD34F5" w:rsidRDefault="00AD34F5" w:rsidP="008818E0">
      <w:pPr>
        <w:autoSpaceDE w:val="0"/>
        <w:autoSpaceDN w:val="0"/>
        <w:adjustRightInd w:val="0"/>
        <w:ind w:firstLine="360"/>
        <w:contextualSpacing/>
        <w:jc w:val="both"/>
        <w:rPr>
          <w:bCs/>
          <w:highlight w:val="yellow"/>
        </w:rPr>
      </w:pPr>
      <w:r w:rsidRPr="005754E1">
        <w:rPr>
          <w:bCs/>
          <w:highlight w:val="yellow"/>
        </w:rPr>
        <w:t>The chosen Independent Inspector is to:</w:t>
      </w:r>
    </w:p>
    <w:p w14:paraId="3F3A260D" w14:textId="77777777" w:rsidR="004C2F49" w:rsidRDefault="004C2F49" w:rsidP="008818E0">
      <w:pPr>
        <w:autoSpaceDE w:val="0"/>
        <w:autoSpaceDN w:val="0"/>
        <w:adjustRightInd w:val="0"/>
        <w:ind w:firstLine="360"/>
        <w:contextualSpacing/>
        <w:jc w:val="both"/>
        <w:rPr>
          <w:bCs/>
          <w:highlight w:val="yellow"/>
        </w:rPr>
      </w:pPr>
    </w:p>
    <w:p w14:paraId="6BB40E21" w14:textId="201EE771" w:rsidR="004C2F49" w:rsidRPr="005754E1" w:rsidRDefault="004C2F49" w:rsidP="008818E0">
      <w:pPr>
        <w:numPr>
          <w:ilvl w:val="0"/>
          <w:numId w:val="22"/>
        </w:numPr>
        <w:autoSpaceDE w:val="0"/>
        <w:autoSpaceDN w:val="0"/>
        <w:adjustRightInd w:val="0"/>
        <w:contextualSpacing/>
        <w:jc w:val="both"/>
        <w:rPr>
          <w:color w:val="000000"/>
          <w:highlight w:val="yellow"/>
        </w:rPr>
      </w:pPr>
      <w:r w:rsidRPr="005754E1">
        <w:rPr>
          <w:bCs/>
          <w:highlight w:val="yellow"/>
        </w:rPr>
        <w:t xml:space="preserve">Observe confidentiality, where necessary, in order to protect commercial secrets or to preserve sensitive data of a </w:t>
      </w:r>
      <w:r w:rsidR="00540BB1">
        <w:rPr>
          <w:bCs/>
          <w:highlight w:val="yellow"/>
        </w:rPr>
        <w:t>Signatory</w:t>
      </w:r>
      <w:r w:rsidRPr="005754E1">
        <w:rPr>
          <w:bCs/>
          <w:highlight w:val="yellow"/>
        </w:rPr>
        <w:t xml:space="preserve">. The Independent Inspector should sign </w:t>
      </w:r>
      <w:r w:rsidRPr="005754E1">
        <w:rPr>
          <w:bCs/>
          <w:i/>
          <w:highlight w:val="yellow"/>
        </w:rPr>
        <w:t>'Nondisclosure Agreements'</w:t>
      </w:r>
      <w:r w:rsidRPr="005754E1">
        <w:rPr>
          <w:bCs/>
          <w:highlight w:val="yellow"/>
        </w:rPr>
        <w:t xml:space="preserve"> with all the </w:t>
      </w:r>
      <w:r w:rsidR="00540BB1">
        <w:rPr>
          <w:bCs/>
          <w:highlight w:val="yellow"/>
        </w:rPr>
        <w:t>Signatories</w:t>
      </w:r>
      <w:r w:rsidRPr="005754E1">
        <w:rPr>
          <w:bCs/>
          <w:highlight w:val="yellow"/>
        </w:rPr>
        <w:t xml:space="preserve"> to the self-regulation measure, </w:t>
      </w:r>
    </w:p>
    <w:p w14:paraId="758F0A83" w14:textId="77777777" w:rsidR="004C2F49" w:rsidRPr="005754E1" w:rsidRDefault="004C2F49" w:rsidP="008818E0">
      <w:pPr>
        <w:numPr>
          <w:ilvl w:val="0"/>
          <w:numId w:val="22"/>
        </w:numPr>
        <w:autoSpaceDE w:val="0"/>
        <w:autoSpaceDN w:val="0"/>
        <w:adjustRightInd w:val="0"/>
        <w:contextualSpacing/>
        <w:jc w:val="both"/>
        <w:rPr>
          <w:color w:val="000000"/>
          <w:highlight w:val="yellow"/>
        </w:rPr>
      </w:pPr>
      <w:r>
        <w:rPr>
          <w:color w:val="000000"/>
          <w:highlight w:val="yellow"/>
        </w:rPr>
        <w:t>B</w:t>
      </w:r>
      <w:r w:rsidRPr="005754E1">
        <w:rPr>
          <w:color w:val="000000"/>
          <w:highlight w:val="yellow"/>
        </w:rPr>
        <w:t>e impartial in all its actions and base its opinions and reports only on the facts,</w:t>
      </w:r>
    </w:p>
    <w:p w14:paraId="0B932D78" w14:textId="77777777" w:rsidR="004C2F49" w:rsidRPr="005754E1" w:rsidRDefault="004C2F49" w:rsidP="008818E0">
      <w:pPr>
        <w:numPr>
          <w:ilvl w:val="0"/>
          <w:numId w:val="22"/>
        </w:numPr>
        <w:autoSpaceDE w:val="0"/>
        <w:autoSpaceDN w:val="0"/>
        <w:adjustRightInd w:val="0"/>
        <w:contextualSpacing/>
        <w:jc w:val="both"/>
        <w:rPr>
          <w:color w:val="000000"/>
          <w:highlight w:val="yellow"/>
        </w:rPr>
      </w:pPr>
      <w:r>
        <w:rPr>
          <w:color w:val="000000"/>
          <w:highlight w:val="yellow"/>
        </w:rPr>
        <w:t>I</w:t>
      </w:r>
      <w:r w:rsidRPr="005754E1">
        <w:rPr>
          <w:color w:val="000000"/>
          <w:highlight w:val="yellow"/>
        </w:rPr>
        <w:t>nterpret applicable rules and figures in a truthful and sincere manner,</w:t>
      </w:r>
    </w:p>
    <w:p w14:paraId="2843FB09" w14:textId="41B2ECAF" w:rsidR="004C2F49" w:rsidRPr="005754E1" w:rsidRDefault="004C2F49" w:rsidP="008818E0">
      <w:pPr>
        <w:numPr>
          <w:ilvl w:val="0"/>
          <w:numId w:val="22"/>
        </w:numPr>
        <w:autoSpaceDE w:val="0"/>
        <w:autoSpaceDN w:val="0"/>
        <w:adjustRightInd w:val="0"/>
        <w:contextualSpacing/>
        <w:jc w:val="both"/>
        <w:rPr>
          <w:color w:val="000000"/>
          <w:highlight w:val="yellow"/>
        </w:rPr>
      </w:pPr>
      <w:r>
        <w:rPr>
          <w:color w:val="000000"/>
          <w:highlight w:val="yellow"/>
        </w:rPr>
        <w:t>B</w:t>
      </w:r>
      <w:r w:rsidRPr="005754E1">
        <w:rPr>
          <w:color w:val="000000"/>
          <w:highlight w:val="yellow"/>
        </w:rPr>
        <w:t xml:space="preserve">e free of conflicts of interest and preferably not have any business or other relevant relationship with the </w:t>
      </w:r>
      <w:r w:rsidR="00540BB1">
        <w:rPr>
          <w:color w:val="000000"/>
          <w:highlight w:val="yellow"/>
        </w:rPr>
        <w:t>Signatories</w:t>
      </w:r>
      <w:r w:rsidRPr="005754E1">
        <w:rPr>
          <w:color w:val="000000"/>
          <w:highlight w:val="yellow"/>
        </w:rPr>
        <w:t xml:space="preserve"> or at least disclose such relationship at the earliest possible stage,</w:t>
      </w:r>
    </w:p>
    <w:p w14:paraId="530242B6" w14:textId="77777777" w:rsidR="004C2F49" w:rsidRPr="005754E1" w:rsidRDefault="004C2F49" w:rsidP="008818E0">
      <w:pPr>
        <w:numPr>
          <w:ilvl w:val="0"/>
          <w:numId w:val="22"/>
        </w:numPr>
        <w:shd w:val="clear" w:color="auto" w:fill="FFFFFF"/>
        <w:contextualSpacing/>
        <w:jc w:val="both"/>
        <w:rPr>
          <w:color w:val="000000"/>
          <w:highlight w:val="yellow"/>
        </w:rPr>
      </w:pPr>
      <w:r w:rsidRPr="005754E1">
        <w:rPr>
          <w:color w:val="000000"/>
          <w:highlight w:val="yellow"/>
        </w:rPr>
        <w:t xml:space="preserve">Perform its tasks with due care and supervise adequately all performed tasks for which it will be responsible. </w:t>
      </w:r>
    </w:p>
    <w:p w14:paraId="0D2B0651" w14:textId="77777777" w:rsidR="00AD34F5" w:rsidRPr="00A80298" w:rsidRDefault="00AD34F5" w:rsidP="008818E0">
      <w:pPr>
        <w:contextualSpacing/>
        <w:jc w:val="both"/>
        <w:rPr>
          <w:bCs/>
        </w:rPr>
      </w:pPr>
    </w:p>
    <w:p w14:paraId="469E1B9B" w14:textId="77777777" w:rsidR="00AD34F5" w:rsidRDefault="00AD34F5" w:rsidP="008818E0">
      <w:pPr>
        <w:ind w:left="360"/>
        <w:contextualSpacing/>
        <w:jc w:val="both"/>
        <w:rPr>
          <w:bCs/>
        </w:rPr>
      </w:pPr>
      <w:r w:rsidRPr="00A80298">
        <w:rPr>
          <w:bCs/>
          <w:highlight w:val="yellow"/>
        </w:rPr>
        <w:t>Information about the Independent Inspector chosen for the self-regulation measure should be published on the website dedicated to the self-regulation measure within thirty days following its appointment.</w:t>
      </w:r>
    </w:p>
    <w:p w14:paraId="3A95DC68" w14:textId="77777777" w:rsidR="00597233" w:rsidRDefault="00597233" w:rsidP="008818E0">
      <w:pPr>
        <w:contextualSpacing/>
        <w:jc w:val="both"/>
        <w:rPr>
          <w:bCs/>
        </w:rPr>
      </w:pPr>
    </w:p>
    <w:p w14:paraId="2235461E" w14:textId="3D2CE344" w:rsidR="00597233" w:rsidRPr="00AB16DC" w:rsidRDefault="00597233" w:rsidP="008818E0">
      <w:pPr>
        <w:ind w:firstLine="360"/>
        <w:contextualSpacing/>
        <w:jc w:val="both"/>
      </w:pPr>
      <w:r w:rsidRPr="009664EF">
        <w:rPr>
          <w:highlight w:val="yellow"/>
        </w:rPr>
        <w:t>The Independent Inspector shall have an observer seat at the S</w:t>
      </w:r>
      <w:r w:rsidR="00D57745" w:rsidRPr="009664EF">
        <w:rPr>
          <w:highlight w:val="yellow"/>
        </w:rPr>
        <w:t xml:space="preserve">teering </w:t>
      </w:r>
      <w:r w:rsidRPr="009664EF">
        <w:rPr>
          <w:highlight w:val="yellow"/>
        </w:rPr>
        <w:t>C</w:t>
      </w:r>
      <w:r w:rsidR="00D57745" w:rsidRPr="009664EF">
        <w:rPr>
          <w:highlight w:val="yellow"/>
        </w:rPr>
        <w:t>ommittee</w:t>
      </w:r>
      <w:r w:rsidRPr="009664EF">
        <w:rPr>
          <w:highlight w:val="yellow"/>
        </w:rPr>
        <w:t>.</w:t>
      </w:r>
    </w:p>
    <w:p w14:paraId="70CFB98C" w14:textId="77777777" w:rsidR="00597233" w:rsidRDefault="00597233" w:rsidP="008818E0">
      <w:pPr>
        <w:contextualSpacing/>
        <w:jc w:val="both"/>
      </w:pPr>
    </w:p>
    <w:p w14:paraId="774CF00F" w14:textId="7EE1D8FF" w:rsidR="00F131BC" w:rsidRDefault="00F131BC">
      <w:r>
        <w:br w:type="page"/>
      </w:r>
    </w:p>
    <w:p w14:paraId="394EA21A" w14:textId="77777777" w:rsidR="00E26557" w:rsidRPr="009D64B6" w:rsidRDefault="00E26557" w:rsidP="008818E0">
      <w:pPr>
        <w:contextualSpacing/>
        <w:jc w:val="both"/>
      </w:pPr>
    </w:p>
    <w:p w14:paraId="6C0E2917" w14:textId="77777777" w:rsidR="002D4C2D" w:rsidRDefault="006301BE" w:rsidP="008818E0">
      <w:pPr>
        <w:pStyle w:val="Heading1"/>
        <w:spacing w:before="0" w:after="0"/>
        <w:contextualSpacing/>
        <w:jc w:val="both"/>
      </w:pPr>
      <w:bookmarkStart w:id="181" w:name="_Toc375572543"/>
      <w:r w:rsidRPr="00CD5A46">
        <w:t>Reporting</w:t>
      </w:r>
      <w:bookmarkEnd w:id="181"/>
      <w:r w:rsidRPr="00CD5A46">
        <w:t xml:space="preserve"> </w:t>
      </w:r>
      <w:bookmarkEnd w:id="180"/>
    </w:p>
    <w:p w14:paraId="2658783D" w14:textId="49616391" w:rsidR="00E27D24" w:rsidRPr="00B268EB" w:rsidRDefault="00E27D24" w:rsidP="008818E0">
      <w:pPr>
        <w:pStyle w:val="Heading2"/>
        <w:jc w:val="both"/>
        <w:rPr>
          <w:b/>
        </w:rPr>
      </w:pPr>
      <w:bookmarkStart w:id="182" w:name="_Toc375308142"/>
      <w:bookmarkStart w:id="183" w:name="_Toc375572544"/>
      <w:r w:rsidRPr="00B268EB">
        <w:rPr>
          <w:b/>
        </w:rPr>
        <w:t>Reporting frequency</w:t>
      </w:r>
      <w:bookmarkEnd w:id="182"/>
      <w:bookmarkEnd w:id="183"/>
    </w:p>
    <w:p w14:paraId="787C0890" w14:textId="77777777" w:rsidR="00B268EB" w:rsidRPr="00B268EB" w:rsidRDefault="00B268EB" w:rsidP="008818E0">
      <w:pPr>
        <w:jc w:val="both"/>
      </w:pPr>
    </w:p>
    <w:p w14:paraId="764B53A9" w14:textId="77777777" w:rsidR="00AB47F1" w:rsidRDefault="00FA3A26" w:rsidP="008818E0">
      <w:pPr>
        <w:pStyle w:val="Heading2"/>
        <w:numPr>
          <w:ilvl w:val="0"/>
          <w:numId w:val="0"/>
        </w:numPr>
        <w:spacing w:before="0" w:after="0"/>
        <w:ind w:left="360"/>
        <w:contextualSpacing/>
        <w:jc w:val="both"/>
      </w:pPr>
      <w:bookmarkStart w:id="184" w:name="_Toc375308143"/>
      <w:bookmarkStart w:id="185" w:name="_Toc375572545"/>
      <w:r w:rsidRPr="00CD5A46">
        <w:t>Signatories</w:t>
      </w:r>
      <w:r w:rsidR="009354A1" w:rsidRPr="00CD5A46">
        <w:t xml:space="preserve"> </w:t>
      </w:r>
      <w:r w:rsidR="00D33326" w:rsidRPr="00CD5A46">
        <w:t>shall</w:t>
      </w:r>
      <w:r w:rsidR="00D60AB5" w:rsidRPr="00CD5A46">
        <w:t xml:space="preserve"> </w:t>
      </w:r>
      <w:r w:rsidR="00C06D1A" w:rsidRPr="00CD5A46">
        <w:t>submit</w:t>
      </w:r>
      <w:r w:rsidR="002D4C2D" w:rsidRPr="00CD5A46">
        <w:t xml:space="preserve"> </w:t>
      </w:r>
      <w:r w:rsidR="00635B23" w:rsidRPr="00CD5A46">
        <w:t xml:space="preserve">to an Independent Inspector </w:t>
      </w:r>
      <w:r w:rsidR="002D4C2D" w:rsidRPr="00CD5A46">
        <w:t>reports</w:t>
      </w:r>
      <w:r w:rsidR="00826972" w:rsidRPr="00CD5A46">
        <w:t xml:space="preserve"> </w:t>
      </w:r>
      <w:r w:rsidR="00D33326" w:rsidRPr="00CD5A46">
        <w:t>based</w:t>
      </w:r>
      <w:r w:rsidR="002D4C2D" w:rsidRPr="00CD5A46">
        <w:t xml:space="preserve"> on </w:t>
      </w:r>
      <w:r w:rsidR="00C06D1A" w:rsidRPr="00CD5A46">
        <w:t>compliance with</w:t>
      </w:r>
      <w:r w:rsidR="002D1697" w:rsidRPr="00CD5A46">
        <w:t xml:space="preserve"> the Voluntary Agreement</w:t>
      </w:r>
      <w:r w:rsidR="00D33326" w:rsidRPr="00CD5A46">
        <w:t xml:space="preserve"> (the “Reports”) according to the guidelines in this Section</w:t>
      </w:r>
      <w:r w:rsidR="0045454E" w:rsidRPr="00CD5A46">
        <w:t>.</w:t>
      </w:r>
      <w:bookmarkEnd w:id="184"/>
      <w:bookmarkEnd w:id="185"/>
      <w:r w:rsidR="00AF5582">
        <w:t xml:space="preserve"> </w:t>
      </w:r>
    </w:p>
    <w:p w14:paraId="42D5616C" w14:textId="77777777" w:rsidR="00AB47F1" w:rsidRDefault="00BB7A5E" w:rsidP="008818E0">
      <w:pPr>
        <w:pStyle w:val="Heading2"/>
        <w:numPr>
          <w:ilvl w:val="0"/>
          <w:numId w:val="0"/>
        </w:numPr>
        <w:spacing w:before="0" w:after="0"/>
        <w:ind w:left="936" w:hanging="576"/>
        <w:contextualSpacing/>
        <w:jc w:val="both"/>
      </w:pPr>
      <w:bookmarkStart w:id="186" w:name="_Toc375308144"/>
      <w:bookmarkStart w:id="187" w:name="_Toc375572546"/>
      <w:r w:rsidRPr="00AB47F1">
        <w:t xml:space="preserve">The reports shall be provided according to the template in </w:t>
      </w:r>
      <w:r w:rsidR="00A63940" w:rsidRPr="00AB47F1">
        <w:t>Annex C.</w:t>
      </w:r>
      <w:bookmarkEnd w:id="186"/>
      <w:bookmarkEnd w:id="187"/>
    </w:p>
    <w:p w14:paraId="0F073CC9" w14:textId="77777777" w:rsidR="00151829" w:rsidRPr="00AB47F1" w:rsidRDefault="00AB47F1" w:rsidP="008818E0">
      <w:pPr>
        <w:pStyle w:val="Heading2"/>
        <w:numPr>
          <w:ilvl w:val="0"/>
          <w:numId w:val="0"/>
        </w:numPr>
        <w:spacing w:before="0" w:after="0"/>
        <w:ind w:left="936" w:hanging="576"/>
        <w:contextualSpacing/>
        <w:jc w:val="both"/>
      </w:pPr>
      <w:bookmarkStart w:id="188" w:name="_Toc375308145"/>
      <w:bookmarkStart w:id="189" w:name="_Toc375572547"/>
      <w:r w:rsidRPr="00AB47F1">
        <w:t xml:space="preserve">The </w:t>
      </w:r>
      <w:r w:rsidR="002639C8" w:rsidRPr="00AB47F1">
        <w:t xml:space="preserve">Independent Inspector shall publish Annual Compliance Reports </w:t>
      </w:r>
      <w:r w:rsidR="00D33326" w:rsidRPr="00AB47F1">
        <w:t>according to the following schedule:</w:t>
      </w:r>
      <w:bookmarkEnd w:id="188"/>
      <w:bookmarkEnd w:id="189"/>
      <w:r w:rsidR="006514EB" w:rsidRPr="00AB47F1">
        <w:t xml:space="preserve"> </w:t>
      </w:r>
    </w:p>
    <w:p w14:paraId="2C421F9F" w14:textId="77777777" w:rsidR="00E62122" w:rsidRDefault="00E62122" w:rsidP="008818E0">
      <w:pPr>
        <w:pStyle w:val="ListParagraph"/>
        <w:ind w:left="1080"/>
        <w:jc w:val="both"/>
        <w:rPr>
          <w:rFonts w:ascii="Arial" w:hAnsi="Arial" w:cs="Arial"/>
          <w:sz w:val="20"/>
          <w:szCs w:val="20"/>
          <w:highlight w:val="yellow"/>
        </w:rPr>
      </w:pPr>
    </w:p>
    <w:p w14:paraId="23B3A89D" w14:textId="77777777" w:rsidR="00151829" w:rsidRPr="00063685" w:rsidRDefault="00D33326" w:rsidP="008818E0">
      <w:pPr>
        <w:pStyle w:val="ListParagraph"/>
        <w:numPr>
          <w:ilvl w:val="0"/>
          <w:numId w:val="24"/>
        </w:numPr>
        <w:jc w:val="both"/>
        <w:rPr>
          <w:rFonts w:ascii="Arial" w:hAnsi="Arial" w:cs="Arial"/>
          <w:sz w:val="20"/>
          <w:szCs w:val="20"/>
          <w:highlight w:val="yellow"/>
        </w:rPr>
      </w:pPr>
      <w:r w:rsidRPr="00063685">
        <w:rPr>
          <w:rFonts w:ascii="Arial" w:hAnsi="Arial" w:cs="Arial"/>
          <w:sz w:val="20"/>
          <w:szCs w:val="20"/>
          <w:highlight w:val="yellow"/>
        </w:rPr>
        <w:t>A</w:t>
      </w:r>
      <w:r w:rsidR="00151829" w:rsidRPr="00063685">
        <w:rPr>
          <w:rFonts w:ascii="Arial" w:hAnsi="Arial" w:cs="Arial"/>
          <w:sz w:val="20"/>
          <w:szCs w:val="20"/>
          <w:highlight w:val="yellow"/>
        </w:rPr>
        <w:t xml:space="preserve"> </w:t>
      </w:r>
      <w:r w:rsidRPr="00063685">
        <w:rPr>
          <w:rFonts w:ascii="Arial" w:hAnsi="Arial" w:cs="Arial"/>
          <w:sz w:val="20"/>
          <w:szCs w:val="20"/>
          <w:highlight w:val="yellow"/>
        </w:rPr>
        <w:t>R</w:t>
      </w:r>
      <w:r w:rsidR="00151829" w:rsidRPr="00063685">
        <w:rPr>
          <w:rFonts w:ascii="Arial" w:hAnsi="Arial" w:cs="Arial"/>
          <w:sz w:val="20"/>
          <w:szCs w:val="20"/>
          <w:highlight w:val="yellow"/>
        </w:rPr>
        <w:t>eport</w:t>
      </w:r>
      <w:r w:rsidR="00FA44C6" w:rsidRPr="00063685">
        <w:rPr>
          <w:rFonts w:ascii="Arial" w:hAnsi="Arial" w:cs="Arial"/>
          <w:sz w:val="20"/>
          <w:szCs w:val="20"/>
          <w:highlight w:val="yellow"/>
        </w:rPr>
        <w:t xml:space="preserve"> by </w:t>
      </w:r>
      <w:r w:rsidR="006B3F1B" w:rsidRPr="00063685">
        <w:rPr>
          <w:rFonts w:ascii="Arial" w:hAnsi="Arial" w:cs="Arial"/>
          <w:sz w:val="20"/>
          <w:szCs w:val="20"/>
          <w:highlight w:val="yellow"/>
        </w:rPr>
        <w:t>3</w:t>
      </w:r>
      <w:r w:rsidR="00171156" w:rsidRPr="00063685">
        <w:rPr>
          <w:rFonts w:ascii="Arial" w:hAnsi="Arial" w:cs="Arial"/>
          <w:sz w:val="20"/>
          <w:szCs w:val="20"/>
          <w:highlight w:val="yellow"/>
        </w:rPr>
        <w:t>0</w:t>
      </w:r>
      <w:r w:rsidR="006B3F1B" w:rsidRPr="00063685">
        <w:rPr>
          <w:rFonts w:ascii="Arial" w:hAnsi="Arial" w:cs="Arial"/>
          <w:sz w:val="20"/>
          <w:szCs w:val="20"/>
          <w:highlight w:val="yellow"/>
        </w:rPr>
        <w:t xml:space="preserve"> </w:t>
      </w:r>
      <w:r w:rsidR="00965FD4" w:rsidRPr="00063685">
        <w:rPr>
          <w:rFonts w:ascii="Arial" w:hAnsi="Arial" w:cs="Arial"/>
          <w:sz w:val="20"/>
          <w:szCs w:val="20"/>
          <w:highlight w:val="yellow"/>
        </w:rPr>
        <w:t>April</w:t>
      </w:r>
      <w:r w:rsidR="00FA44C6" w:rsidRPr="00063685">
        <w:rPr>
          <w:rFonts w:ascii="Arial" w:hAnsi="Arial" w:cs="Arial"/>
          <w:sz w:val="20"/>
          <w:szCs w:val="20"/>
          <w:highlight w:val="yellow"/>
        </w:rPr>
        <w:t xml:space="preserve"> 201</w:t>
      </w:r>
      <w:r w:rsidR="006B3F1B" w:rsidRPr="00063685">
        <w:rPr>
          <w:rFonts w:ascii="Arial" w:hAnsi="Arial" w:cs="Arial"/>
          <w:sz w:val="20"/>
          <w:szCs w:val="20"/>
          <w:highlight w:val="yellow"/>
        </w:rPr>
        <w:t>5</w:t>
      </w:r>
      <w:r w:rsidR="00151829" w:rsidRPr="00063685">
        <w:rPr>
          <w:rFonts w:ascii="Arial" w:hAnsi="Arial" w:cs="Arial"/>
          <w:sz w:val="20"/>
          <w:szCs w:val="20"/>
          <w:highlight w:val="yellow"/>
        </w:rPr>
        <w:t xml:space="preserve"> </w:t>
      </w:r>
      <w:r w:rsidRPr="00063685">
        <w:rPr>
          <w:rFonts w:ascii="Arial" w:hAnsi="Arial" w:cs="Arial"/>
          <w:sz w:val="20"/>
          <w:szCs w:val="20"/>
          <w:highlight w:val="yellow"/>
        </w:rPr>
        <w:t xml:space="preserve">shall </w:t>
      </w:r>
      <w:r w:rsidR="00AB0AAE" w:rsidRPr="00063685">
        <w:rPr>
          <w:rFonts w:ascii="Arial" w:hAnsi="Arial" w:cs="Arial"/>
          <w:sz w:val="20"/>
          <w:szCs w:val="20"/>
          <w:highlight w:val="yellow"/>
        </w:rPr>
        <w:t xml:space="preserve">cover products placed on the market </w:t>
      </w:r>
      <w:r w:rsidR="0058526A" w:rsidRPr="00063685">
        <w:rPr>
          <w:rFonts w:ascii="Arial" w:hAnsi="Arial" w:cs="Arial"/>
          <w:sz w:val="20"/>
          <w:szCs w:val="20"/>
          <w:highlight w:val="yellow"/>
        </w:rPr>
        <w:t xml:space="preserve">and Signatory commitments </w:t>
      </w:r>
      <w:r w:rsidR="00AB0AAE" w:rsidRPr="00063685">
        <w:rPr>
          <w:rFonts w:ascii="Arial" w:hAnsi="Arial" w:cs="Arial"/>
          <w:sz w:val="20"/>
          <w:szCs w:val="20"/>
          <w:highlight w:val="yellow"/>
        </w:rPr>
        <w:t>between</w:t>
      </w:r>
      <w:r w:rsidRPr="00063685">
        <w:rPr>
          <w:rFonts w:ascii="Arial" w:hAnsi="Arial" w:cs="Arial"/>
          <w:sz w:val="20"/>
          <w:szCs w:val="20"/>
          <w:highlight w:val="yellow"/>
        </w:rPr>
        <w:t xml:space="preserve"> </w:t>
      </w:r>
      <w:r w:rsidR="003545EA" w:rsidRPr="00063685">
        <w:rPr>
          <w:rFonts w:ascii="Arial" w:hAnsi="Arial" w:cs="Arial"/>
          <w:sz w:val="20"/>
          <w:szCs w:val="20"/>
          <w:highlight w:val="yellow"/>
        </w:rPr>
        <w:t xml:space="preserve">1 </w:t>
      </w:r>
      <w:r w:rsidR="00FA44C6" w:rsidRPr="00063685">
        <w:rPr>
          <w:rFonts w:ascii="Arial" w:hAnsi="Arial" w:cs="Arial"/>
          <w:sz w:val="20"/>
          <w:szCs w:val="20"/>
          <w:highlight w:val="yellow"/>
        </w:rPr>
        <w:t xml:space="preserve">January </w:t>
      </w:r>
      <w:r w:rsidR="00151829" w:rsidRPr="00063685">
        <w:rPr>
          <w:rFonts w:ascii="Arial" w:hAnsi="Arial" w:cs="Arial"/>
          <w:sz w:val="20"/>
          <w:szCs w:val="20"/>
          <w:highlight w:val="yellow"/>
        </w:rPr>
        <w:t>201</w:t>
      </w:r>
      <w:r w:rsidR="006B3F1B" w:rsidRPr="00063685">
        <w:rPr>
          <w:rFonts w:ascii="Arial" w:hAnsi="Arial" w:cs="Arial"/>
          <w:sz w:val="20"/>
          <w:szCs w:val="20"/>
          <w:highlight w:val="yellow"/>
        </w:rPr>
        <w:t>4</w:t>
      </w:r>
      <w:r w:rsidR="00151829" w:rsidRPr="00063685">
        <w:rPr>
          <w:rFonts w:ascii="Arial" w:hAnsi="Arial" w:cs="Arial"/>
          <w:sz w:val="20"/>
          <w:szCs w:val="20"/>
          <w:highlight w:val="yellow"/>
        </w:rPr>
        <w:t xml:space="preserve"> and </w:t>
      </w:r>
      <w:r w:rsidR="003545EA" w:rsidRPr="00063685">
        <w:rPr>
          <w:rFonts w:ascii="Arial" w:hAnsi="Arial" w:cs="Arial"/>
          <w:sz w:val="20"/>
          <w:szCs w:val="20"/>
          <w:highlight w:val="yellow"/>
        </w:rPr>
        <w:t>3</w:t>
      </w:r>
      <w:r w:rsidR="006B3F1B" w:rsidRPr="00063685">
        <w:rPr>
          <w:rFonts w:ascii="Arial" w:hAnsi="Arial" w:cs="Arial"/>
          <w:sz w:val="20"/>
          <w:szCs w:val="20"/>
          <w:highlight w:val="yellow"/>
        </w:rPr>
        <w:t>1</w:t>
      </w:r>
      <w:r w:rsidR="003545EA" w:rsidRPr="00063685">
        <w:rPr>
          <w:rFonts w:ascii="Arial" w:hAnsi="Arial" w:cs="Arial"/>
          <w:sz w:val="20"/>
          <w:szCs w:val="20"/>
          <w:highlight w:val="yellow"/>
        </w:rPr>
        <w:t xml:space="preserve"> </w:t>
      </w:r>
      <w:r w:rsidR="006B3F1B" w:rsidRPr="00063685">
        <w:rPr>
          <w:rFonts w:ascii="Arial" w:hAnsi="Arial" w:cs="Arial"/>
          <w:sz w:val="20"/>
          <w:szCs w:val="20"/>
          <w:highlight w:val="yellow"/>
        </w:rPr>
        <w:t>December</w:t>
      </w:r>
      <w:r w:rsidR="00151829" w:rsidRPr="00063685">
        <w:rPr>
          <w:rFonts w:ascii="Arial" w:hAnsi="Arial" w:cs="Arial"/>
          <w:sz w:val="20"/>
          <w:szCs w:val="20"/>
          <w:highlight w:val="yellow"/>
        </w:rPr>
        <w:t xml:space="preserve"> 201</w:t>
      </w:r>
      <w:r w:rsidR="006B3F1B" w:rsidRPr="00063685">
        <w:rPr>
          <w:rFonts w:ascii="Arial" w:hAnsi="Arial" w:cs="Arial"/>
          <w:sz w:val="20"/>
          <w:szCs w:val="20"/>
          <w:highlight w:val="yellow"/>
        </w:rPr>
        <w:t>4</w:t>
      </w:r>
      <w:r w:rsidR="00151829" w:rsidRPr="00063685">
        <w:rPr>
          <w:rFonts w:ascii="Arial" w:hAnsi="Arial" w:cs="Arial"/>
          <w:sz w:val="20"/>
          <w:szCs w:val="20"/>
          <w:highlight w:val="yellow"/>
        </w:rPr>
        <w:t xml:space="preserve">. This </w:t>
      </w:r>
      <w:r w:rsidRPr="00063685">
        <w:rPr>
          <w:rFonts w:ascii="Arial" w:hAnsi="Arial" w:cs="Arial"/>
          <w:sz w:val="20"/>
          <w:szCs w:val="20"/>
          <w:highlight w:val="yellow"/>
        </w:rPr>
        <w:t xml:space="preserve">Report </w:t>
      </w:r>
      <w:r w:rsidR="00151829" w:rsidRPr="00063685">
        <w:rPr>
          <w:rFonts w:ascii="Arial" w:hAnsi="Arial" w:cs="Arial"/>
          <w:sz w:val="20"/>
          <w:szCs w:val="20"/>
          <w:highlight w:val="yellow"/>
        </w:rPr>
        <w:t xml:space="preserve">will </w:t>
      </w:r>
      <w:r w:rsidR="00FA44C6" w:rsidRPr="00063685">
        <w:rPr>
          <w:rFonts w:ascii="Arial" w:hAnsi="Arial" w:cs="Arial"/>
          <w:sz w:val="20"/>
          <w:szCs w:val="20"/>
          <w:highlight w:val="yellow"/>
        </w:rPr>
        <w:t xml:space="preserve">establish </w:t>
      </w:r>
      <w:r w:rsidR="00AF7732" w:rsidRPr="00063685">
        <w:rPr>
          <w:rFonts w:ascii="Arial" w:hAnsi="Arial" w:cs="Arial"/>
          <w:sz w:val="20"/>
          <w:szCs w:val="20"/>
          <w:highlight w:val="yellow"/>
        </w:rPr>
        <w:t xml:space="preserve">the </w:t>
      </w:r>
      <w:r w:rsidR="00FA44C6" w:rsidRPr="00063685">
        <w:rPr>
          <w:rFonts w:ascii="Arial" w:hAnsi="Arial" w:cs="Arial"/>
          <w:sz w:val="20"/>
          <w:szCs w:val="20"/>
          <w:highlight w:val="yellow"/>
        </w:rPr>
        <w:t>baseline</w:t>
      </w:r>
      <w:r w:rsidR="00AF7732" w:rsidRPr="00063685">
        <w:rPr>
          <w:rFonts w:ascii="Arial" w:hAnsi="Arial" w:cs="Arial"/>
          <w:sz w:val="20"/>
          <w:szCs w:val="20"/>
          <w:highlight w:val="yellow"/>
        </w:rPr>
        <w:t xml:space="preserve"> for the </w:t>
      </w:r>
      <w:r w:rsidR="00FE2DF5" w:rsidRPr="00063685">
        <w:rPr>
          <w:rFonts w:ascii="Arial" w:hAnsi="Arial" w:cs="Arial"/>
          <w:sz w:val="20"/>
          <w:szCs w:val="20"/>
          <w:highlight w:val="yellow"/>
        </w:rPr>
        <w:t xml:space="preserve">revised </w:t>
      </w:r>
      <w:r w:rsidR="00AF7732" w:rsidRPr="00063685">
        <w:rPr>
          <w:rFonts w:ascii="Arial" w:hAnsi="Arial" w:cs="Arial"/>
          <w:sz w:val="20"/>
          <w:szCs w:val="20"/>
          <w:highlight w:val="yellow"/>
        </w:rPr>
        <w:t>Voluntary Agreement</w:t>
      </w:r>
      <w:r w:rsidR="00151829" w:rsidRPr="00063685">
        <w:rPr>
          <w:rFonts w:ascii="Arial" w:hAnsi="Arial" w:cs="Arial"/>
          <w:sz w:val="20"/>
          <w:szCs w:val="20"/>
          <w:highlight w:val="yellow"/>
        </w:rPr>
        <w:t>.</w:t>
      </w:r>
    </w:p>
    <w:p w14:paraId="3833C5B3" w14:textId="77777777" w:rsidR="00063685" w:rsidRPr="00063685" w:rsidRDefault="00FA44C6" w:rsidP="008818E0">
      <w:pPr>
        <w:pStyle w:val="ListParagraph"/>
        <w:numPr>
          <w:ilvl w:val="0"/>
          <w:numId w:val="24"/>
        </w:numPr>
        <w:jc w:val="both"/>
        <w:rPr>
          <w:rFonts w:ascii="Arial" w:hAnsi="Arial" w:cs="Arial"/>
          <w:sz w:val="20"/>
          <w:szCs w:val="20"/>
          <w:highlight w:val="yellow"/>
        </w:rPr>
      </w:pPr>
      <w:r w:rsidRPr="00063685">
        <w:rPr>
          <w:rFonts w:ascii="Arial" w:hAnsi="Arial" w:cs="Arial"/>
          <w:sz w:val="20"/>
          <w:szCs w:val="20"/>
          <w:highlight w:val="yellow"/>
        </w:rPr>
        <w:t xml:space="preserve">A </w:t>
      </w:r>
      <w:r w:rsidR="00D33326" w:rsidRPr="00063685">
        <w:rPr>
          <w:rFonts w:ascii="Arial" w:hAnsi="Arial" w:cs="Arial"/>
          <w:sz w:val="20"/>
          <w:szCs w:val="20"/>
          <w:highlight w:val="yellow"/>
        </w:rPr>
        <w:t>R</w:t>
      </w:r>
      <w:r w:rsidR="009C1D20" w:rsidRPr="00063685">
        <w:rPr>
          <w:rFonts w:ascii="Arial" w:hAnsi="Arial" w:cs="Arial"/>
          <w:sz w:val="20"/>
          <w:szCs w:val="20"/>
          <w:highlight w:val="yellow"/>
        </w:rPr>
        <w:t>eport</w:t>
      </w:r>
      <w:r w:rsidRPr="00063685">
        <w:rPr>
          <w:rFonts w:ascii="Arial" w:hAnsi="Arial" w:cs="Arial"/>
          <w:sz w:val="20"/>
          <w:szCs w:val="20"/>
          <w:highlight w:val="yellow"/>
        </w:rPr>
        <w:t xml:space="preserve"> by </w:t>
      </w:r>
      <w:r w:rsidR="006B3F1B" w:rsidRPr="00063685">
        <w:rPr>
          <w:rFonts w:ascii="Arial" w:hAnsi="Arial" w:cs="Arial"/>
          <w:sz w:val="20"/>
          <w:szCs w:val="20"/>
          <w:highlight w:val="yellow"/>
        </w:rPr>
        <w:t>3</w:t>
      </w:r>
      <w:r w:rsidR="00171156" w:rsidRPr="00063685">
        <w:rPr>
          <w:rFonts w:ascii="Arial" w:hAnsi="Arial" w:cs="Arial"/>
          <w:sz w:val="20"/>
          <w:szCs w:val="20"/>
          <w:highlight w:val="yellow"/>
        </w:rPr>
        <w:t>0</w:t>
      </w:r>
      <w:r w:rsidR="006B3F1B" w:rsidRPr="00063685">
        <w:rPr>
          <w:rFonts w:ascii="Arial" w:hAnsi="Arial" w:cs="Arial"/>
          <w:sz w:val="20"/>
          <w:szCs w:val="20"/>
          <w:highlight w:val="yellow"/>
        </w:rPr>
        <w:t xml:space="preserve"> </w:t>
      </w:r>
      <w:r w:rsidR="00965FD4" w:rsidRPr="00063685">
        <w:rPr>
          <w:rFonts w:ascii="Arial" w:hAnsi="Arial" w:cs="Arial"/>
          <w:sz w:val="20"/>
          <w:szCs w:val="20"/>
          <w:highlight w:val="yellow"/>
        </w:rPr>
        <w:t>April</w:t>
      </w:r>
      <w:r w:rsidR="00E41FEC" w:rsidRPr="00063685">
        <w:rPr>
          <w:rFonts w:ascii="Arial" w:hAnsi="Arial" w:cs="Arial"/>
          <w:sz w:val="20"/>
          <w:szCs w:val="20"/>
          <w:highlight w:val="yellow"/>
        </w:rPr>
        <w:t xml:space="preserve"> </w:t>
      </w:r>
      <w:r w:rsidRPr="00063685">
        <w:rPr>
          <w:rFonts w:ascii="Arial" w:hAnsi="Arial" w:cs="Arial"/>
          <w:sz w:val="20"/>
          <w:szCs w:val="20"/>
          <w:highlight w:val="yellow"/>
        </w:rPr>
        <w:t>201</w:t>
      </w:r>
      <w:r w:rsidR="006B3F1B" w:rsidRPr="00063685">
        <w:rPr>
          <w:rFonts w:ascii="Arial" w:hAnsi="Arial" w:cs="Arial"/>
          <w:sz w:val="20"/>
          <w:szCs w:val="20"/>
          <w:highlight w:val="yellow"/>
        </w:rPr>
        <w:t>6</w:t>
      </w:r>
      <w:r w:rsidR="009C1D20" w:rsidRPr="00063685">
        <w:rPr>
          <w:rFonts w:ascii="Arial" w:hAnsi="Arial" w:cs="Arial"/>
          <w:sz w:val="20"/>
          <w:szCs w:val="20"/>
          <w:highlight w:val="yellow"/>
        </w:rPr>
        <w:t xml:space="preserve"> </w:t>
      </w:r>
      <w:r w:rsidR="00D33326" w:rsidRPr="00063685">
        <w:rPr>
          <w:rFonts w:ascii="Arial" w:hAnsi="Arial" w:cs="Arial"/>
          <w:sz w:val="20"/>
          <w:szCs w:val="20"/>
          <w:highlight w:val="yellow"/>
        </w:rPr>
        <w:t xml:space="preserve">shall </w:t>
      </w:r>
      <w:r w:rsidRPr="00063685">
        <w:rPr>
          <w:rFonts w:ascii="Arial" w:hAnsi="Arial" w:cs="Arial"/>
          <w:sz w:val="20"/>
          <w:szCs w:val="20"/>
          <w:highlight w:val="yellow"/>
        </w:rPr>
        <w:t xml:space="preserve">cover products placed on the market between </w:t>
      </w:r>
      <w:r w:rsidR="003545EA" w:rsidRPr="00063685">
        <w:rPr>
          <w:rFonts w:ascii="Arial" w:hAnsi="Arial" w:cs="Arial"/>
          <w:sz w:val="20"/>
          <w:szCs w:val="20"/>
          <w:highlight w:val="yellow"/>
        </w:rPr>
        <w:t xml:space="preserve">1 </w:t>
      </w:r>
      <w:r w:rsidR="006B3F1B" w:rsidRPr="00063685">
        <w:rPr>
          <w:rFonts w:ascii="Arial" w:hAnsi="Arial" w:cs="Arial"/>
          <w:sz w:val="20"/>
          <w:szCs w:val="20"/>
          <w:highlight w:val="yellow"/>
        </w:rPr>
        <w:t>January</w:t>
      </w:r>
      <w:r w:rsidRPr="00063685">
        <w:rPr>
          <w:rFonts w:ascii="Arial" w:hAnsi="Arial" w:cs="Arial"/>
          <w:sz w:val="20"/>
          <w:szCs w:val="20"/>
          <w:highlight w:val="yellow"/>
        </w:rPr>
        <w:t xml:space="preserve"> 201</w:t>
      </w:r>
      <w:r w:rsidR="006B3F1B" w:rsidRPr="00063685">
        <w:rPr>
          <w:rFonts w:ascii="Arial" w:hAnsi="Arial" w:cs="Arial"/>
          <w:sz w:val="20"/>
          <w:szCs w:val="20"/>
          <w:highlight w:val="yellow"/>
        </w:rPr>
        <w:t>5</w:t>
      </w:r>
      <w:r w:rsidRPr="00063685">
        <w:rPr>
          <w:rFonts w:ascii="Arial" w:hAnsi="Arial" w:cs="Arial"/>
          <w:sz w:val="20"/>
          <w:szCs w:val="20"/>
          <w:highlight w:val="yellow"/>
        </w:rPr>
        <w:t xml:space="preserve"> and </w:t>
      </w:r>
      <w:r w:rsidR="006B3F1B" w:rsidRPr="00063685">
        <w:rPr>
          <w:rFonts w:ascii="Arial" w:hAnsi="Arial" w:cs="Arial"/>
          <w:sz w:val="20"/>
          <w:szCs w:val="20"/>
          <w:highlight w:val="yellow"/>
        </w:rPr>
        <w:t>31 December</w:t>
      </w:r>
      <w:r w:rsidRPr="00063685">
        <w:rPr>
          <w:rFonts w:ascii="Arial" w:hAnsi="Arial" w:cs="Arial"/>
          <w:sz w:val="20"/>
          <w:szCs w:val="20"/>
          <w:highlight w:val="yellow"/>
        </w:rPr>
        <w:t xml:space="preserve"> </w:t>
      </w:r>
      <w:r w:rsidR="00AF7732" w:rsidRPr="00063685">
        <w:rPr>
          <w:rFonts w:ascii="Arial" w:hAnsi="Arial" w:cs="Arial"/>
          <w:sz w:val="20"/>
          <w:szCs w:val="20"/>
          <w:highlight w:val="yellow"/>
        </w:rPr>
        <w:t>201</w:t>
      </w:r>
      <w:r w:rsidR="009E3BD4" w:rsidRPr="00063685">
        <w:rPr>
          <w:rFonts w:ascii="Arial" w:hAnsi="Arial" w:cs="Arial"/>
          <w:sz w:val="20"/>
          <w:szCs w:val="20"/>
          <w:highlight w:val="yellow"/>
        </w:rPr>
        <w:t>5</w:t>
      </w:r>
      <w:r w:rsidR="009C1D20" w:rsidRPr="00063685">
        <w:rPr>
          <w:rFonts w:ascii="Arial" w:hAnsi="Arial" w:cs="Arial"/>
          <w:sz w:val="20"/>
          <w:szCs w:val="20"/>
          <w:highlight w:val="yellow"/>
        </w:rPr>
        <w:t>.</w:t>
      </w:r>
    </w:p>
    <w:p w14:paraId="13111A08" w14:textId="77777777" w:rsidR="00063685" w:rsidRPr="00063685" w:rsidRDefault="009E3BD4" w:rsidP="008818E0">
      <w:pPr>
        <w:pStyle w:val="ListParagraph"/>
        <w:numPr>
          <w:ilvl w:val="0"/>
          <w:numId w:val="24"/>
        </w:numPr>
        <w:jc w:val="both"/>
        <w:rPr>
          <w:rFonts w:ascii="Arial" w:hAnsi="Arial" w:cs="Arial"/>
          <w:sz w:val="20"/>
          <w:szCs w:val="20"/>
          <w:highlight w:val="yellow"/>
        </w:rPr>
      </w:pPr>
      <w:r w:rsidRPr="00063685">
        <w:rPr>
          <w:rFonts w:ascii="Arial" w:hAnsi="Arial" w:cs="Arial"/>
          <w:sz w:val="20"/>
          <w:szCs w:val="20"/>
          <w:highlight w:val="yellow"/>
        </w:rPr>
        <w:t>A Report by 3</w:t>
      </w:r>
      <w:r w:rsidR="00171156" w:rsidRPr="00063685">
        <w:rPr>
          <w:rFonts w:ascii="Arial" w:hAnsi="Arial" w:cs="Arial"/>
          <w:sz w:val="20"/>
          <w:szCs w:val="20"/>
          <w:highlight w:val="yellow"/>
        </w:rPr>
        <w:t>0</w:t>
      </w:r>
      <w:r w:rsidRPr="00063685">
        <w:rPr>
          <w:rFonts w:ascii="Arial" w:hAnsi="Arial" w:cs="Arial"/>
          <w:sz w:val="20"/>
          <w:szCs w:val="20"/>
          <w:highlight w:val="yellow"/>
        </w:rPr>
        <w:t xml:space="preserve"> </w:t>
      </w:r>
      <w:r w:rsidR="00FE2DF5" w:rsidRPr="00063685">
        <w:rPr>
          <w:rFonts w:ascii="Arial" w:hAnsi="Arial" w:cs="Arial"/>
          <w:sz w:val="20"/>
          <w:szCs w:val="20"/>
          <w:highlight w:val="yellow"/>
        </w:rPr>
        <w:t>April</w:t>
      </w:r>
      <w:r w:rsidRPr="00063685">
        <w:rPr>
          <w:rFonts w:ascii="Arial" w:hAnsi="Arial" w:cs="Arial"/>
          <w:sz w:val="20"/>
          <w:szCs w:val="20"/>
          <w:highlight w:val="yellow"/>
        </w:rPr>
        <w:t xml:space="preserve"> 2017 shall cover products placed on the market between 1 January 2016 and 31 December 2016.</w:t>
      </w:r>
    </w:p>
    <w:p w14:paraId="306DD775" w14:textId="12205995" w:rsidR="00FE2CEC" w:rsidRDefault="00AF7732" w:rsidP="008818E0">
      <w:pPr>
        <w:pStyle w:val="ListParagraph"/>
        <w:numPr>
          <w:ilvl w:val="0"/>
          <w:numId w:val="24"/>
        </w:numPr>
        <w:jc w:val="both"/>
        <w:rPr>
          <w:rFonts w:ascii="Arial" w:hAnsi="Arial" w:cs="Arial"/>
          <w:sz w:val="20"/>
          <w:szCs w:val="20"/>
        </w:rPr>
      </w:pPr>
      <w:r w:rsidRPr="00063685">
        <w:rPr>
          <w:rFonts w:ascii="Arial" w:hAnsi="Arial" w:cs="Arial"/>
          <w:sz w:val="20"/>
          <w:szCs w:val="20"/>
          <w:highlight w:val="yellow"/>
        </w:rPr>
        <w:t xml:space="preserve">Unless differently stated in </w:t>
      </w:r>
      <w:r w:rsidR="00A45CE1" w:rsidRPr="00063685">
        <w:rPr>
          <w:rFonts w:ascii="Arial" w:hAnsi="Arial" w:cs="Arial"/>
          <w:sz w:val="20"/>
          <w:szCs w:val="20"/>
          <w:highlight w:val="yellow"/>
        </w:rPr>
        <w:t xml:space="preserve">forthcoming </w:t>
      </w:r>
      <w:r w:rsidRPr="00063685">
        <w:rPr>
          <w:rFonts w:ascii="Arial" w:hAnsi="Arial" w:cs="Arial"/>
          <w:sz w:val="20"/>
          <w:szCs w:val="20"/>
          <w:highlight w:val="yellow"/>
        </w:rPr>
        <w:t xml:space="preserve">revisions of the current Voluntary Agreement, </w:t>
      </w:r>
      <w:r w:rsidR="00A45CE1" w:rsidRPr="00063685">
        <w:rPr>
          <w:rFonts w:ascii="Arial" w:hAnsi="Arial" w:cs="Arial"/>
          <w:sz w:val="20"/>
          <w:szCs w:val="20"/>
          <w:highlight w:val="yellow"/>
        </w:rPr>
        <w:t xml:space="preserve">the </w:t>
      </w:r>
      <w:r w:rsidRPr="00063685">
        <w:rPr>
          <w:rFonts w:ascii="Arial" w:hAnsi="Arial" w:cs="Arial"/>
          <w:sz w:val="20"/>
          <w:szCs w:val="20"/>
          <w:highlight w:val="yellow"/>
        </w:rPr>
        <w:t xml:space="preserve">following reports </w:t>
      </w:r>
      <w:r w:rsidR="00BD4E02" w:rsidRPr="00063685">
        <w:rPr>
          <w:rFonts w:ascii="Arial" w:hAnsi="Arial" w:cs="Arial"/>
          <w:sz w:val="20"/>
          <w:szCs w:val="20"/>
          <w:highlight w:val="yellow"/>
        </w:rPr>
        <w:t>shall</w:t>
      </w:r>
      <w:r w:rsidRPr="00063685">
        <w:rPr>
          <w:rFonts w:ascii="Arial" w:hAnsi="Arial" w:cs="Arial"/>
          <w:sz w:val="20"/>
          <w:szCs w:val="20"/>
          <w:highlight w:val="yellow"/>
        </w:rPr>
        <w:t xml:space="preserve"> be established by </w:t>
      </w:r>
      <w:r w:rsidR="003545EA" w:rsidRPr="00063685">
        <w:rPr>
          <w:rFonts w:ascii="Arial" w:hAnsi="Arial" w:cs="Arial"/>
          <w:sz w:val="20"/>
          <w:szCs w:val="20"/>
          <w:highlight w:val="yellow"/>
        </w:rPr>
        <w:t>3</w:t>
      </w:r>
      <w:r w:rsidR="007E6086" w:rsidRPr="00063685">
        <w:rPr>
          <w:rFonts w:ascii="Arial" w:hAnsi="Arial" w:cs="Arial"/>
          <w:sz w:val="20"/>
          <w:szCs w:val="20"/>
          <w:highlight w:val="yellow"/>
        </w:rPr>
        <w:t>0</w:t>
      </w:r>
      <w:r w:rsidR="003545EA" w:rsidRPr="00063685">
        <w:rPr>
          <w:rFonts w:ascii="Arial" w:hAnsi="Arial" w:cs="Arial"/>
          <w:sz w:val="20"/>
          <w:szCs w:val="20"/>
          <w:highlight w:val="yellow"/>
        </w:rPr>
        <w:t xml:space="preserve"> </w:t>
      </w:r>
      <w:r w:rsidR="00FE2DF5" w:rsidRPr="00063685">
        <w:rPr>
          <w:rFonts w:ascii="Arial" w:hAnsi="Arial" w:cs="Arial"/>
          <w:sz w:val="20"/>
          <w:szCs w:val="20"/>
          <w:highlight w:val="yellow"/>
        </w:rPr>
        <w:t xml:space="preserve">April </w:t>
      </w:r>
      <w:r w:rsidRPr="00063685">
        <w:rPr>
          <w:rFonts w:ascii="Arial" w:hAnsi="Arial" w:cs="Arial"/>
          <w:sz w:val="20"/>
          <w:szCs w:val="20"/>
          <w:highlight w:val="yellow"/>
        </w:rPr>
        <w:t xml:space="preserve">every year covering products placed on the market during the previous full calendar year, e.g. by </w:t>
      </w:r>
      <w:r w:rsidR="003545EA" w:rsidRPr="00063685">
        <w:rPr>
          <w:rFonts w:ascii="Arial" w:hAnsi="Arial" w:cs="Arial"/>
          <w:sz w:val="20"/>
          <w:szCs w:val="20"/>
          <w:highlight w:val="yellow"/>
        </w:rPr>
        <w:t>3</w:t>
      </w:r>
      <w:r w:rsidR="007E6086" w:rsidRPr="00063685">
        <w:rPr>
          <w:rFonts w:ascii="Arial" w:hAnsi="Arial" w:cs="Arial"/>
          <w:sz w:val="20"/>
          <w:szCs w:val="20"/>
          <w:highlight w:val="yellow"/>
        </w:rPr>
        <w:t>0</w:t>
      </w:r>
      <w:r w:rsidR="003545EA" w:rsidRPr="00063685">
        <w:rPr>
          <w:rFonts w:ascii="Arial" w:hAnsi="Arial" w:cs="Arial"/>
          <w:sz w:val="20"/>
          <w:szCs w:val="20"/>
          <w:highlight w:val="yellow"/>
        </w:rPr>
        <w:t xml:space="preserve"> </w:t>
      </w:r>
      <w:r w:rsidR="002639C8" w:rsidRPr="00063685">
        <w:rPr>
          <w:rFonts w:ascii="Arial" w:hAnsi="Arial" w:cs="Arial"/>
          <w:sz w:val="20"/>
          <w:szCs w:val="20"/>
          <w:highlight w:val="yellow"/>
        </w:rPr>
        <w:t xml:space="preserve">April </w:t>
      </w:r>
      <w:r w:rsidRPr="00063685">
        <w:rPr>
          <w:rFonts w:ascii="Arial" w:hAnsi="Arial" w:cs="Arial"/>
          <w:sz w:val="20"/>
          <w:szCs w:val="20"/>
          <w:highlight w:val="yellow"/>
        </w:rPr>
        <w:t>201</w:t>
      </w:r>
      <w:r w:rsidR="009E3BD4" w:rsidRPr="00063685">
        <w:rPr>
          <w:rFonts w:ascii="Arial" w:hAnsi="Arial" w:cs="Arial"/>
          <w:sz w:val="20"/>
          <w:szCs w:val="20"/>
          <w:highlight w:val="yellow"/>
        </w:rPr>
        <w:t>8</w:t>
      </w:r>
      <w:r w:rsidRPr="00063685">
        <w:rPr>
          <w:rFonts w:ascii="Arial" w:hAnsi="Arial" w:cs="Arial"/>
          <w:sz w:val="20"/>
          <w:szCs w:val="20"/>
          <w:highlight w:val="yellow"/>
        </w:rPr>
        <w:t xml:space="preserve"> for products placed on the market between </w:t>
      </w:r>
      <w:r w:rsidR="003545EA" w:rsidRPr="00063685">
        <w:rPr>
          <w:rFonts w:ascii="Arial" w:hAnsi="Arial" w:cs="Arial"/>
          <w:sz w:val="20"/>
          <w:szCs w:val="20"/>
          <w:highlight w:val="yellow"/>
        </w:rPr>
        <w:t xml:space="preserve">1 </w:t>
      </w:r>
      <w:r w:rsidRPr="00063685">
        <w:rPr>
          <w:rFonts w:ascii="Arial" w:hAnsi="Arial" w:cs="Arial"/>
          <w:sz w:val="20"/>
          <w:szCs w:val="20"/>
          <w:highlight w:val="yellow"/>
        </w:rPr>
        <w:t>January 201</w:t>
      </w:r>
      <w:r w:rsidR="009E3BD4" w:rsidRPr="00063685">
        <w:rPr>
          <w:rFonts w:ascii="Arial" w:hAnsi="Arial" w:cs="Arial"/>
          <w:sz w:val="20"/>
          <w:szCs w:val="20"/>
          <w:highlight w:val="yellow"/>
        </w:rPr>
        <w:t>7</w:t>
      </w:r>
      <w:r w:rsidRPr="00063685">
        <w:rPr>
          <w:rFonts w:ascii="Arial" w:hAnsi="Arial" w:cs="Arial"/>
          <w:sz w:val="20"/>
          <w:szCs w:val="20"/>
          <w:highlight w:val="yellow"/>
        </w:rPr>
        <w:t xml:space="preserve"> and </w:t>
      </w:r>
      <w:r w:rsidR="003545EA" w:rsidRPr="00063685">
        <w:rPr>
          <w:rFonts w:ascii="Arial" w:hAnsi="Arial" w:cs="Arial"/>
          <w:sz w:val="20"/>
          <w:szCs w:val="20"/>
          <w:highlight w:val="yellow"/>
        </w:rPr>
        <w:t xml:space="preserve">31 </w:t>
      </w:r>
      <w:r w:rsidRPr="00063685">
        <w:rPr>
          <w:rFonts w:ascii="Arial" w:hAnsi="Arial" w:cs="Arial"/>
          <w:sz w:val="20"/>
          <w:szCs w:val="20"/>
          <w:highlight w:val="yellow"/>
        </w:rPr>
        <w:t>December 201</w:t>
      </w:r>
      <w:r w:rsidR="009E3BD4" w:rsidRPr="00063685">
        <w:rPr>
          <w:rFonts w:ascii="Arial" w:hAnsi="Arial" w:cs="Arial"/>
          <w:sz w:val="20"/>
          <w:szCs w:val="20"/>
          <w:highlight w:val="yellow"/>
        </w:rPr>
        <w:t>7</w:t>
      </w:r>
      <w:r w:rsidR="0045454E" w:rsidRPr="00063685">
        <w:rPr>
          <w:rFonts w:ascii="Arial" w:hAnsi="Arial" w:cs="Arial"/>
          <w:sz w:val="20"/>
          <w:szCs w:val="20"/>
          <w:highlight w:val="yellow"/>
        </w:rPr>
        <w:t>.</w:t>
      </w:r>
    </w:p>
    <w:p w14:paraId="27295C96" w14:textId="77777777" w:rsidR="007F41FC" w:rsidRPr="007F41FC" w:rsidRDefault="007F41FC" w:rsidP="008818E0">
      <w:pPr>
        <w:jc w:val="both"/>
      </w:pPr>
    </w:p>
    <w:p w14:paraId="7A4A3CF2" w14:textId="733DB0B5" w:rsidR="00FE2CEC" w:rsidRDefault="00503956" w:rsidP="008818E0">
      <w:pPr>
        <w:ind w:left="360"/>
        <w:contextualSpacing/>
        <w:jc w:val="both"/>
      </w:pPr>
      <w:r>
        <w:t xml:space="preserve">Within </w:t>
      </w:r>
      <w:r w:rsidR="0058526A" w:rsidRPr="00FE2CEC">
        <w:t>two weeks following the end of a reporting period, t</w:t>
      </w:r>
      <w:r w:rsidR="00D030A7" w:rsidRPr="00FE2CEC">
        <w:t xml:space="preserve">he Independent Inspector shall </w:t>
      </w:r>
      <w:r w:rsidR="0058526A" w:rsidRPr="00FE2CEC">
        <w:t xml:space="preserve">send a </w:t>
      </w:r>
      <w:r w:rsidR="00D030A7" w:rsidRPr="00FE2CEC">
        <w:t>request</w:t>
      </w:r>
      <w:r w:rsidR="0058526A" w:rsidRPr="00FE2CEC">
        <w:t xml:space="preserve"> to</w:t>
      </w:r>
      <w:r w:rsidR="00D030A7" w:rsidRPr="00FE2CEC">
        <w:t xml:space="preserve"> the Signatories to file their Reports. </w:t>
      </w:r>
      <w:r w:rsidR="0058526A" w:rsidRPr="00FE2CEC">
        <w:t xml:space="preserve">These shall be submitted no later than </w:t>
      </w:r>
      <w:r w:rsidR="00A87576" w:rsidRPr="00FE2CEC">
        <w:rPr>
          <w:highlight w:val="yellow"/>
        </w:rPr>
        <w:t xml:space="preserve">two </w:t>
      </w:r>
      <w:r w:rsidR="00D030A7" w:rsidRPr="00FE2CEC">
        <w:rPr>
          <w:highlight w:val="yellow"/>
        </w:rPr>
        <w:t>months</w:t>
      </w:r>
      <w:r w:rsidR="00A87576" w:rsidRPr="00FE2CEC">
        <w:rPr>
          <w:highlight w:val="yellow"/>
        </w:rPr>
        <w:t xml:space="preserve"> and two weeks</w:t>
      </w:r>
      <w:r w:rsidR="00D030A7" w:rsidRPr="00FE2CEC">
        <w:t xml:space="preserve"> </w:t>
      </w:r>
      <w:r w:rsidR="0058526A" w:rsidRPr="00FE2CEC">
        <w:t>after the end of the reporting period.</w:t>
      </w:r>
    </w:p>
    <w:p w14:paraId="20B105B1" w14:textId="77777777" w:rsidR="00503956" w:rsidRDefault="00503956" w:rsidP="008818E0">
      <w:pPr>
        <w:ind w:left="360"/>
        <w:contextualSpacing/>
        <w:jc w:val="both"/>
      </w:pPr>
    </w:p>
    <w:p w14:paraId="0D110781" w14:textId="3B45E444" w:rsidR="00AB47F1" w:rsidRDefault="00503956" w:rsidP="008818E0">
      <w:pPr>
        <w:ind w:left="360"/>
        <w:contextualSpacing/>
        <w:jc w:val="both"/>
        <w:rPr>
          <w:highlight w:val="yellow"/>
        </w:rPr>
      </w:pPr>
      <w:r>
        <w:t xml:space="preserve">The </w:t>
      </w:r>
      <w:r w:rsidR="00D030A7" w:rsidRPr="00FE2CEC">
        <w:t>R</w:t>
      </w:r>
      <w:r w:rsidR="002D4C2D" w:rsidRPr="00FE2CEC">
        <w:t xml:space="preserve">eports </w:t>
      </w:r>
      <w:r w:rsidR="00D030A7" w:rsidRPr="00FE2CEC">
        <w:t xml:space="preserve">shall </w:t>
      </w:r>
      <w:r w:rsidR="002D4C2D" w:rsidRPr="00FE2CEC">
        <w:t xml:space="preserve">be </w:t>
      </w:r>
      <w:r w:rsidR="00D030A7" w:rsidRPr="00FE2CEC">
        <w:t xml:space="preserve">compiled </w:t>
      </w:r>
      <w:r w:rsidR="00376BA2" w:rsidRPr="00FE2CEC">
        <w:t xml:space="preserve">by the </w:t>
      </w:r>
      <w:r w:rsidR="00233C2E" w:rsidRPr="00FE2CEC">
        <w:t>I</w:t>
      </w:r>
      <w:r w:rsidR="00376BA2" w:rsidRPr="00FE2CEC">
        <w:t xml:space="preserve">ndependent </w:t>
      </w:r>
      <w:r w:rsidR="00233C2E" w:rsidRPr="00FE2CEC">
        <w:t>I</w:t>
      </w:r>
      <w:r w:rsidR="00376BA2" w:rsidRPr="00FE2CEC">
        <w:t xml:space="preserve">nspector </w:t>
      </w:r>
      <w:r w:rsidR="002D4C2D" w:rsidRPr="00FE2CEC">
        <w:t xml:space="preserve">into a </w:t>
      </w:r>
      <w:r w:rsidR="006D3E78" w:rsidRPr="00FE2CEC">
        <w:t xml:space="preserve">draft </w:t>
      </w:r>
      <w:r w:rsidR="0044298B" w:rsidRPr="00FE2CEC">
        <w:t xml:space="preserve">annual </w:t>
      </w:r>
      <w:r w:rsidR="002D4C2D" w:rsidRPr="00FE2CEC">
        <w:t xml:space="preserve">progress report </w:t>
      </w:r>
      <w:r w:rsidR="00D030A7" w:rsidRPr="00FE2CEC">
        <w:t xml:space="preserve">(the “Annual Progress Report”) </w:t>
      </w:r>
      <w:r w:rsidR="002D4C2D" w:rsidRPr="00FE2CEC">
        <w:t xml:space="preserve">that will be submitted </w:t>
      </w:r>
      <w:r w:rsidR="002D4C2D" w:rsidRPr="00FE2CEC">
        <w:rPr>
          <w:highlight w:val="yellow"/>
        </w:rPr>
        <w:t xml:space="preserve">to </w:t>
      </w:r>
      <w:r w:rsidR="006D3E78" w:rsidRPr="00FE2CEC">
        <w:rPr>
          <w:highlight w:val="yellow"/>
        </w:rPr>
        <w:t xml:space="preserve">the European Commission and </w:t>
      </w:r>
      <w:r w:rsidR="006A737B" w:rsidRPr="00FE2CEC">
        <w:rPr>
          <w:highlight w:val="yellow"/>
        </w:rPr>
        <w:t xml:space="preserve">the </w:t>
      </w:r>
      <w:r w:rsidR="006D3E78" w:rsidRPr="00FE2CEC">
        <w:rPr>
          <w:highlight w:val="yellow"/>
        </w:rPr>
        <w:t xml:space="preserve">Signatories by the 12 April of the calendar year following the end of the reporting period for </w:t>
      </w:r>
      <w:r w:rsidR="006A737B" w:rsidRPr="00FE2CEC">
        <w:rPr>
          <w:highlight w:val="yellow"/>
        </w:rPr>
        <w:t xml:space="preserve">the purpose of </w:t>
      </w:r>
      <w:r w:rsidR="006D3E78" w:rsidRPr="00FE2CEC">
        <w:rPr>
          <w:highlight w:val="yellow"/>
        </w:rPr>
        <w:t>checking inconsistencies</w:t>
      </w:r>
      <w:r w:rsidR="006A737B" w:rsidRPr="00FE2CEC">
        <w:rPr>
          <w:highlight w:val="yellow"/>
        </w:rPr>
        <w:t xml:space="preserve"> and quality</w:t>
      </w:r>
      <w:r w:rsidR="006D3E78" w:rsidRPr="00FE2CEC">
        <w:rPr>
          <w:highlight w:val="yellow"/>
        </w:rPr>
        <w:t xml:space="preserve">. The Independent Inspector will submit the Final Annual Progress Report to </w:t>
      </w:r>
      <w:r w:rsidR="00E1083D" w:rsidRPr="00FE2CEC">
        <w:rPr>
          <w:highlight w:val="yellow"/>
        </w:rPr>
        <w:t xml:space="preserve">the </w:t>
      </w:r>
      <w:r w:rsidR="002D4C2D" w:rsidRPr="00FE2CEC">
        <w:rPr>
          <w:highlight w:val="yellow"/>
        </w:rPr>
        <w:t>Steering Committee</w:t>
      </w:r>
      <w:r w:rsidR="00D030A7" w:rsidRPr="00FE2CEC">
        <w:rPr>
          <w:highlight w:val="yellow"/>
        </w:rPr>
        <w:t xml:space="preserve"> </w:t>
      </w:r>
      <w:r w:rsidR="005D7A78" w:rsidRPr="00FE2CEC">
        <w:rPr>
          <w:highlight w:val="yellow"/>
        </w:rPr>
        <w:t xml:space="preserve">no later than </w:t>
      </w:r>
      <w:r w:rsidR="006D3E78" w:rsidRPr="00FE2CEC">
        <w:rPr>
          <w:highlight w:val="yellow"/>
        </w:rPr>
        <w:t>30 April</w:t>
      </w:r>
      <w:r w:rsidR="005D7A78" w:rsidRPr="00FE2CEC">
        <w:rPr>
          <w:highlight w:val="yellow"/>
        </w:rPr>
        <w:t xml:space="preserve"> of the</w:t>
      </w:r>
      <w:r w:rsidR="006D3E78" w:rsidRPr="00FE2CEC">
        <w:rPr>
          <w:highlight w:val="yellow"/>
        </w:rPr>
        <w:t xml:space="preserve"> calendar</w:t>
      </w:r>
      <w:r w:rsidR="005D7A78" w:rsidRPr="00FE2CEC">
        <w:rPr>
          <w:highlight w:val="yellow"/>
        </w:rPr>
        <w:t xml:space="preserve"> year following the end of the reporting period</w:t>
      </w:r>
      <w:r w:rsidR="002D4C2D" w:rsidRPr="00FE2CEC">
        <w:rPr>
          <w:highlight w:val="yellow"/>
        </w:rPr>
        <w:t>.</w:t>
      </w:r>
    </w:p>
    <w:p w14:paraId="0352EB22" w14:textId="77777777" w:rsidR="00503956" w:rsidRDefault="00503956" w:rsidP="008818E0">
      <w:pPr>
        <w:ind w:left="360"/>
        <w:contextualSpacing/>
        <w:jc w:val="both"/>
        <w:rPr>
          <w:highlight w:val="yellow"/>
        </w:rPr>
      </w:pPr>
    </w:p>
    <w:p w14:paraId="61599AFB" w14:textId="29194395" w:rsidR="00180152" w:rsidRDefault="002D4C2D" w:rsidP="008818E0">
      <w:pPr>
        <w:ind w:left="360"/>
        <w:contextualSpacing/>
        <w:jc w:val="both"/>
        <w:rPr>
          <w:highlight w:val="yellow"/>
        </w:rPr>
      </w:pPr>
      <w:r w:rsidRPr="00CD5A46">
        <w:t>Th</w:t>
      </w:r>
      <w:r w:rsidR="0044298B" w:rsidRPr="00CD5A46">
        <w:t>is</w:t>
      </w:r>
      <w:r w:rsidR="00A35C3D" w:rsidRPr="00CD5A46">
        <w:t xml:space="preserve"> </w:t>
      </w:r>
      <w:r w:rsidR="00D030A7" w:rsidRPr="00CD5A46">
        <w:t>A</w:t>
      </w:r>
      <w:r w:rsidR="0044298B" w:rsidRPr="00CD5A46">
        <w:t>nnual</w:t>
      </w:r>
      <w:r w:rsidR="00B55BDE" w:rsidRPr="00CD5A46">
        <w:t xml:space="preserve"> </w:t>
      </w:r>
      <w:r w:rsidR="00D030A7" w:rsidRPr="00CD5A46">
        <w:t>P</w:t>
      </w:r>
      <w:r w:rsidRPr="00CD5A46">
        <w:t xml:space="preserve">rogress </w:t>
      </w:r>
      <w:r w:rsidR="00D030A7" w:rsidRPr="00CD5A46">
        <w:t>R</w:t>
      </w:r>
      <w:r w:rsidRPr="00CD5A46">
        <w:t xml:space="preserve">eport will only show anonymous results. </w:t>
      </w:r>
      <w:r w:rsidR="00ED616B" w:rsidRPr="00CD5A46">
        <w:t xml:space="preserve">Signatories </w:t>
      </w:r>
      <w:r w:rsidRPr="00CD5A46">
        <w:t xml:space="preserve">will not be named although individual achievements </w:t>
      </w:r>
      <w:r w:rsidR="00D030A7" w:rsidRPr="00CD5A46">
        <w:t xml:space="preserve">shall </w:t>
      </w:r>
      <w:r w:rsidRPr="00CD5A46">
        <w:t xml:space="preserve">be </w:t>
      </w:r>
      <w:r w:rsidR="00D030A7" w:rsidRPr="00CD5A46">
        <w:t xml:space="preserve">disclosed </w:t>
      </w:r>
      <w:r w:rsidRPr="00CD5A46">
        <w:t xml:space="preserve">(company A, company B, </w:t>
      </w:r>
      <w:r w:rsidR="002D1A92" w:rsidRPr="00CD5A46">
        <w:t>etc.</w:t>
      </w:r>
      <w:r w:rsidRPr="00CD5A46">
        <w:t>)</w:t>
      </w:r>
      <w:r w:rsidR="00E1083D" w:rsidRPr="00CD5A46">
        <w:t>.</w:t>
      </w:r>
      <w:r w:rsidR="00CF059A" w:rsidRPr="00CF059A">
        <w:t xml:space="preserve"> </w:t>
      </w:r>
      <w:r w:rsidR="00CF059A" w:rsidRPr="00EF7B6A">
        <w:rPr>
          <w:highlight w:val="yellow"/>
        </w:rPr>
        <w:t>In case a company is found to be non-compliant, the Annual Progress Report shall provide the identity of the Signatory and detail the reasons for such non-compliance.</w:t>
      </w:r>
    </w:p>
    <w:p w14:paraId="3227BD41" w14:textId="77777777" w:rsidR="00E62122" w:rsidRDefault="00E62122" w:rsidP="008818E0">
      <w:pPr>
        <w:ind w:left="360"/>
        <w:contextualSpacing/>
        <w:jc w:val="both"/>
        <w:rPr>
          <w:highlight w:val="yellow"/>
        </w:rPr>
      </w:pPr>
    </w:p>
    <w:p w14:paraId="459B7516" w14:textId="55C614D3" w:rsidR="00846F9D" w:rsidRDefault="0044298B" w:rsidP="008818E0">
      <w:pPr>
        <w:pStyle w:val="Heading2"/>
        <w:numPr>
          <w:ilvl w:val="0"/>
          <w:numId w:val="0"/>
        </w:numPr>
        <w:spacing w:before="0" w:after="0"/>
        <w:ind w:left="360"/>
        <w:contextualSpacing/>
        <w:jc w:val="both"/>
      </w:pPr>
      <w:bookmarkStart w:id="190" w:name="_Toc375308146"/>
      <w:bookmarkStart w:id="191" w:name="_Toc375572548"/>
      <w:r w:rsidRPr="00CD5A46">
        <w:t xml:space="preserve">The </w:t>
      </w:r>
      <w:r w:rsidR="00304BF5" w:rsidRPr="00CD5A46">
        <w:t>Independent Inspector</w:t>
      </w:r>
      <w:r w:rsidR="00C45371" w:rsidRPr="00CD5A46">
        <w:t xml:space="preserve"> </w:t>
      </w:r>
      <w:r w:rsidR="00D030A7" w:rsidRPr="00CD5A46">
        <w:t xml:space="preserve">shall </w:t>
      </w:r>
      <w:r w:rsidR="00A63940" w:rsidRPr="00CD5A46">
        <w:t xml:space="preserve">be responsible for </w:t>
      </w:r>
      <w:r w:rsidR="00C45371" w:rsidRPr="00CD5A46">
        <w:t>ensur</w:t>
      </w:r>
      <w:r w:rsidR="00A63940" w:rsidRPr="00CD5A46">
        <w:t>ing</w:t>
      </w:r>
      <w:r w:rsidR="00C45371" w:rsidRPr="00CD5A46">
        <w:t xml:space="preserve"> that confidential</w:t>
      </w:r>
      <w:r w:rsidR="00A63940" w:rsidRPr="00CD5A46">
        <w:t>it</w:t>
      </w:r>
      <w:r w:rsidR="00C45371" w:rsidRPr="00CD5A46">
        <w:t xml:space="preserve">y of </w:t>
      </w:r>
      <w:r w:rsidR="00ED616B" w:rsidRPr="00CD5A46">
        <w:t xml:space="preserve">the </w:t>
      </w:r>
      <w:r w:rsidR="00233C2E" w:rsidRPr="00CD5A46">
        <w:t>S</w:t>
      </w:r>
      <w:r w:rsidR="00ED616B" w:rsidRPr="00CD5A46">
        <w:t xml:space="preserve">ignatory’s </w:t>
      </w:r>
      <w:r w:rsidR="005D1E4D" w:rsidRPr="00CD5A46">
        <w:t xml:space="preserve">identity and </w:t>
      </w:r>
      <w:r w:rsidR="00D16568" w:rsidRPr="00CD5A46">
        <w:t xml:space="preserve">any </w:t>
      </w:r>
      <w:r w:rsidR="00C45371" w:rsidRPr="00CD5A46">
        <w:t xml:space="preserve">data </w:t>
      </w:r>
      <w:r w:rsidR="00D16568" w:rsidRPr="00CD5A46">
        <w:t xml:space="preserve">or information provided to it under or in relation to this agreement </w:t>
      </w:r>
      <w:r w:rsidR="00C45371" w:rsidRPr="00CD5A46">
        <w:t>is</w:t>
      </w:r>
      <w:r w:rsidR="00A35C3D" w:rsidRPr="00CD5A46">
        <w:t xml:space="preserve"> </w:t>
      </w:r>
      <w:r w:rsidRPr="00CD5A46">
        <w:t>maintained</w:t>
      </w:r>
      <w:r w:rsidR="00845753">
        <w:t>. T</w:t>
      </w:r>
      <w:r w:rsidR="005D1E4D" w:rsidRPr="00CD5A46">
        <w:t>his shall include entering into a non-disclosure agreement with each Signatory if requested by the Signatory.</w:t>
      </w:r>
      <w:bookmarkEnd w:id="190"/>
      <w:bookmarkEnd w:id="191"/>
    </w:p>
    <w:p w14:paraId="77E7A807" w14:textId="4292FF19" w:rsidR="00052AF2" w:rsidRPr="007F41FC" w:rsidRDefault="00052AF2" w:rsidP="008818E0">
      <w:pPr>
        <w:pStyle w:val="Heading2"/>
        <w:jc w:val="both"/>
        <w:rPr>
          <w:b/>
          <w:highlight w:val="yellow"/>
        </w:rPr>
      </w:pPr>
      <w:bookmarkStart w:id="192" w:name="_Toc375308147"/>
      <w:bookmarkStart w:id="193" w:name="_Toc375572549"/>
      <w:r w:rsidRPr="007F41FC">
        <w:rPr>
          <w:b/>
          <w:highlight w:val="yellow"/>
        </w:rPr>
        <w:t>Background data</w:t>
      </w:r>
      <w:bookmarkEnd w:id="192"/>
      <w:bookmarkEnd w:id="193"/>
    </w:p>
    <w:p w14:paraId="195A91AB" w14:textId="77777777" w:rsidR="007F41FC" w:rsidRPr="007F41FC" w:rsidRDefault="007F41FC" w:rsidP="008818E0">
      <w:pPr>
        <w:jc w:val="both"/>
        <w:rPr>
          <w:highlight w:val="yellow"/>
        </w:rPr>
      </w:pPr>
    </w:p>
    <w:p w14:paraId="5B233066" w14:textId="77777777" w:rsidR="00A42C17" w:rsidRDefault="00A42C17" w:rsidP="008818E0">
      <w:pPr>
        <w:pStyle w:val="Heading2"/>
        <w:numPr>
          <w:ilvl w:val="0"/>
          <w:numId w:val="0"/>
        </w:numPr>
        <w:spacing w:before="0" w:after="0"/>
        <w:ind w:left="360"/>
        <w:contextualSpacing/>
        <w:jc w:val="both"/>
      </w:pPr>
      <w:bookmarkStart w:id="194" w:name="_Toc375308148"/>
      <w:bookmarkStart w:id="195" w:name="_Toc375572550"/>
      <w:r w:rsidRPr="00EF7B6A">
        <w:rPr>
          <w:highlight w:val="yellow"/>
        </w:rPr>
        <w:t xml:space="preserve">The Report shall also include a table of anonymised models (per company A, B, etc.) showing </w:t>
      </w:r>
      <w:r>
        <w:rPr>
          <w:highlight w:val="yellow"/>
        </w:rPr>
        <w:t xml:space="preserve">how they qualify for the Voluntary Agreement </w:t>
      </w:r>
      <w:r w:rsidRPr="00EF7B6A">
        <w:rPr>
          <w:highlight w:val="yellow"/>
        </w:rPr>
        <w:t xml:space="preserve">but not including </w:t>
      </w:r>
      <w:r>
        <w:rPr>
          <w:highlight w:val="yellow"/>
        </w:rPr>
        <w:t>the number of products placed on the market</w:t>
      </w:r>
      <w:r w:rsidRPr="00EF7B6A">
        <w:rPr>
          <w:highlight w:val="yellow"/>
        </w:rPr>
        <w:t>.</w:t>
      </w:r>
      <w:bookmarkEnd w:id="194"/>
      <w:bookmarkEnd w:id="195"/>
      <w:r w:rsidRPr="00EF7B6A">
        <w:rPr>
          <w:highlight w:val="yellow"/>
        </w:rPr>
        <w:t xml:space="preserve"> </w:t>
      </w:r>
    </w:p>
    <w:p w14:paraId="1F531EFD" w14:textId="77777777" w:rsidR="00AF4887" w:rsidRPr="00AF4887" w:rsidRDefault="00AF4887" w:rsidP="008818E0">
      <w:pPr>
        <w:jc w:val="both"/>
      </w:pPr>
    </w:p>
    <w:p w14:paraId="7DA348E8" w14:textId="1381B9D2" w:rsidR="00A42C17" w:rsidRDefault="00A42C17" w:rsidP="008818E0">
      <w:pPr>
        <w:pStyle w:val="Heading2"/>
        <w:numPr>
          <w:ilvl w:val="0"/>
          <w:numId w:val="0"/>
        </w:numPr>
        <w:spacing w:before="0" w:after="0"/>
        <w:ind w:left="360"/>
        <w:contextualSpacing/>
        <w:jc w:val="both"/>
        <w:rPr>
          <w:highlight w:val="yellow"/>
        </w:rPr>
      </w:pPr>
      <w:bookmarkStart w:id="196" w:name="_Toc375308149"/>
      <w:bookmarkStart w:id="197" w:name="_Toc375572551"/>
      <w:r w:rsidRPr="003231C5">
        <w:rPr>
          <w:highlight w:val="yellow"/>
        </w:rPr>
        <w:t>In case a member or observer in the Steering Committee wants to verify the qualification of a product that falls under the Voluntary Agreement, the request has to be addressed to the Independent Inspector and the Signatory. Only the Independent Inspector shall provide the organization with the qualification</w:t>
      </w:r>
      <w:r w:rsidR="003231C5" w:rsidRPr="003231C5">
        <w:rPr>
          <w:highlight w:val="yellow"/>
        </w:rPr>
        <w:t xml:space="preserve"> </w:t>
      </w:r>
      <w:r w:rsidRPr="003231C5">
        <w:rPr>
          <w:highlight w:val="yellow"/>
        </w:rPr>
        <w:t>status of a model (yes/no) on a confidential basis within two weeks. Within four weeks of receiving the information, the organization shall be required to inform both the Independent Inspector and the Signatory of the results of the verification.</w:t>
      </w:r>
      <w:bookmarkEnd w:id="196"/>
      <w:bookmarkEnd w:id="197"/>
      <w:r w:rsidRPr="003231C5">
        <w:rPr>
          <w:highlight w:val="yellow"/>
        </w:rPr>
        <w:t xml:space="preserve"> </w:t>
      </w:r>
    </w:p>
    <w:p w14:paraId="52D89CA3" w14:textId="77777777" w:rsidR="00AF4887" w:rsidRPr="00AF4887" w:rsidRDefault="00AF4887" w:rsidP="008818E0">
      <w:pPr>
        <w:jc w:val="both"/>
        <w:rPr>
          <w:highlight w:val="yellow"/>
        </w:rPr>
      </w:pPr>
    </w:p>
    <w:p w14:paraId="7C30F147" w14:textId="779D41E3" w:rsidR="00A42C17" w:rsidRDefault="00A42C17" w:rsidP="008818E0">
      <w:pPr>
        <w:pStyle w:val="Heading2"/>
        <w:numPr>
          <w:ilvl w:val="0"/>
          <w:numId w:val="0"/>
        </w:numPr>
        <w:spacing w:before="0" w:after="0"/>
        <w:ind w:left="360"/>
        <w:contextualSpacing/>
        <w:jc w:val="both"/>
      </w:pPr>
      <w:bookmarkStart w:id="198" w:name="_Toc375308150"/>
      <w:bookmarkStart w:id="199" w:name="_Toc375572552"/>
      <w:r w:rsidRPr="003231C5">
        <w:rPr>
          <w:highlight w:val="yellow"/>
        </w:rPr>
        <w:lastRenderedPageBreak/>
        <w:t>The Independent Inspector shall only respond to requests for specific models and is not allowed to disclose lists on the qualification</w:t>
      </w:r>
      <w:r w:rsidR="00034B43" w:rsidRPr="003231C5">
        <w:rPr>
          <w:highlight w:val="yellow"/>
        </w:rPr>
        <w:t xml:space="preserve"> </w:t>
      </w:r>
      <w:r w:rsidRPr="003231C5">
        <w:rPr>
          <w:highlight w:val="yellow"/>
        </w:rPr>
        <w:t>status of a Signatory’s product portfolio in regards of the commitments that products have to meet.</w:t>
      </w:r>
      <w:bookmarkEnd w:id="198"/>
      <w:bookmarkEnd w:id="199"/>
    </w:p>
    <w:p w14:paraId="5AFDF30D" w14:textId="77777777" w:rsidR="00AF4887" w:rsidRPr="00AF4887" w:rsidRDefault="00AF4887" w:rsidP="008818E0">
      <w:pPr>
        <w:jc w:val="both"/>
      </w:pPr>
    </w:p>
    <w:p w14:paraId="0418A31C" w14:textId="77777777" w:rsidR="006049B1" w:rsidRPr="00CD5A46" w:rsidRDefault="006049B1" w:rsidP="008818E0">
      <w:pPr>
        <w:contextualSpacing/>
        <w:jc w:val="both"/>
      </w:pPr>
    </w:p>
    <w:p w14:paraId="40361442" w14:textId="77777777" w:rsidR="006D3E78" w:rsidRPr="00EF7B6A" w:rsidRDefault="006D3E78" w:rsidP="008818E0">
      <w:pPr>
        <w:pStyle w:val="Heading1"/>
        <w:spacing w:before="0" w:after="0"/>
        <w:contextualSpacing/>
        <w:jc w:val="both"/>
        <w:rPr>
          <w:highlight w:val="yellow"/>
        </w:rPr>
      </w:pPr>
      <w:bookmarkStart w:id="200" w:name="_Toc375572553"/>
      <w:bookmarkStart w:id="201" w:name="_Ref248559169"/>
      <w:r w:rsidRPr="00EF7B6A">
        <w:rPr>
          <w:highlight w:val="yellow"/>
        </w:rPr>
        <w:t>Auditing</w:t>
      </w:r>
      <w:bookmarkEnd w:id="200"/>
    </w:p>
    <w:p w14:paraId="75B3EC75" w14:textId="77777777" w:rsidR="001E0FB3" w:rsidRDefault="001E0FB3" w:rsidP="008818E0">
      <w:pPr>
        <w:autoSpaceDE w:val="0"/>
        <w:autoSpaceDN w:val="0"/>
        <w:adjustRightInd w:val="0"/>
        <w:contextualSpacing/>
        <w:jc w:val="both"/>
        <w:rPr>
          <w:color w:val="3D201C"/>
        </w:rPr>
      </w:pPr>
    </w:p>
    <w:p w14:paraId="12834575" w14:textId="77777777" w:rsidR="001E0FB3" w:rsidRPr="00AB16DC" w:rsidRDefault="001E0FB3" w:rsidP="008818E0">
      <w:pPr>
        <w:autoSpaceDE w:val="0"/>
        <w:autoSpaceDN w:val="0"/>
        <w:adjustRightInd w:val="0"/>
        <w:ind w:firstLine="360"/>
        <w:contextualSpacing/>
        <w:jc w:val="both"/>
        <w:rPr>
          <w:highlight w:val="yellow"/>
        </w:rPr>
      </w:pPr>
      <w:r w:rsidRPr="00AB16DC">
        <w:rPr>
          <w:highlight w:val="yellow"/>
        </w:rPr>
        <w:t>Audits should only apply to requirements that can be tested and measured</w:t>
      </w:r>
      <w:r w:rsidR="00137825" w:rsidRPr="00AB16DC">
        <w:rPr>
          <w:highlight w:val="yellow"/>
        </w:rPr>
        <w:t>.</w:t>
      </w:r>
      <w:r w:rsidRPr="00AB16DC">
        <w:rPr>
          <w:highlight w:val="yellow"/>
        </w:rPr>
        <w:t xml:space="preserve"> </w:t>
      </w:r>
    </w:p>
    <w:p w14:paraId="510C6435" w14:textId="77777777" w:rsidR="006D3E78" w:rsidRPr="00AB16DC" w:rsidRDefault="006D3E78" w:rsidP="008818E0">
      <w:pPr>
        <w:autoSpaceDE w:val="0"/>
        <w:autoSpaceDN w:val="0"/>
        <w:adjustRightInd w:val="0"/>
        <w:contextualSpacing/>
        <w:jc w:val="both"/>
        <w:rPr>
          <w:highlight w:val="yellow"/>
        </w:rPr>
      </w:pPr>
    </w:p>
    <w:p w14:paraId="636D22C3" w14:textId="77777777" w:rsidR="006D3E78" w:rsidRPr="00AB16DC" w:rsidRDefault="001E0FB3" w:rsidP="008818E0">
      <w:pPr>
        <w:autoSpaceDE w:val="0"/>
        <w:autoSpaceDN w:val="0"/>
        <w:adjustRightInd w:val="0"/>
        <w:ind w:left="360"/>
        <w:contextualSpacing/>
        <w:jc w:val="both"/>
      </w:pPr>
      <w:r w:rsidRPr="00AB16DC">
        <w:rPr>
          <w:highlight w:val="yellow"/>
        </w:rPr>
        <w:t xml:space="preserve">In order to avoid unnecessary or baseless audits, </w:t>
      </w:r>
      <w:r w:rsidR="008E725D" w:rsidRPr="00AB16DC">
        <w:rPr>
          <w:highlight w:val="yellow"/>
        </w:rPr>
        <w:t>Signatories of the VA agree that audits can be random and/or intelligence based</w:t>
      </w:r>
      <w:r w:rsidRPr="00AB16DC">
        <w:rPr>
          <w:highlight w:val="yellow"/>
        </w:rPr>
        <w:t>, provided that at least all of the following requirements apply</w:t>
      </w:r>
      <w:r w:rsidR="008E725D" w:rsidRPr="00AB16DC">
        <w:rPr>
          <w:highlight w:val="yellow"/>
        </w:rPr>
        <w:t>:</w:t>
      </w:r>
    </w:p>
    <w:p w14:paraId="3CD8F35C" w14:textId="3C165FBC" w:rsidR="006D3E78" w:rsidRPr="009227E2" w:rsidRDefault="009227E2" w:rsidP="009227E2">
      <w:pPr>
        <w:pStyle w:val="Heading2"/>
        <w:rPr>
          <w:b/>
        </w:rPr>
      </w:pPr>
      <w:r w:rsidRPr="009227E2">
        <w:rPr>
          <w:b/>
        </w:rPr>
        <w:t>Random-based audit</w:t>
      </w:r>
    </w:p>
    <w:p w14:paraId="69FCF127" w14:textId="04A1A0A9" w:rsidR="00137825" w:rsidRPr="00721706" w:rsidRDefault="00137825" w:rsidP="008818E0">
      <w:pPr>
        <w:pStyle w:val="ListParagraph"/>
        <w:numPr>
          <w:ilvl w:val="0"/>
          <w:numId w:val="11"/>
        </w:numPr>
        <w:autoSpaceDE w:val="0"/>
        <w:autoSpaceDN w:val="0"/>
        <w:adjustRightInd w:val="0"/>
        <w:jc w:val="both"/>
        <w:rPr>
          <w:rFonts w:ascii="Arial" w:hAnsi="Arial" w:cs="Arial"/>
          <w:sz w:val="20"/>
          <w:szCs w:val="20"/>
          <w:highlight w:val="yellow"/>
        </w:rPr>
      </w:pPr>
      <w:r w:rsidRPr="00AB16DC">
        <w:rPr>
          <w:rFonts w:ascii="Arial" w:eastAsia="Times New Roman" w:hAnsi="Arial" w:cs="Arial"/>
          <w:bCs/>
          <w:sz w:val="20"/>
          <w:szCs w:val="20"/>
          <w:highlight w:val="yellow"/>
          <w:lang w:eastAsia="fr-FR"/>
        </w:rPr>
        <w:t>The S</w:t>
      </w:r>
      <w:r w:rsidR="002E2D1B">
        <w:rPr>
          <w:rFonts w:ascii="Arial" w:eastAsia="Times New Roman" w:hAnsi="Arial" w:cs="Arial"/>
          <w:bCs/>
          <w:sz w:val="20"/>
          <w:szCs w:val="20"/>
          <w:highlight w:val="yellow"/>
          <w:lang w:eastAsia="fr-FR"/>
        </w:rPr>
        <w:t xml:space="preserve">teering </w:t>
      </w:r>
      <w:r w:rsidRPr="00AB16DC">
        <w:rPr>
          <w:rFonts w:ascii="Arial" w:eastAsia="Times New Roman" w:hAnsi="Arial" w:cs="Arial"/>
          <w:bCs/>
          <w:sz w:val="20"/>
          <w:szCs w:val="20"/>
          <w:highlight w:val="yellow"/>
          <w:lang w:eastAsia="fr-FR"/>
        </w:rPr>
        <w:t>C</w:t>
      </w:r>
      <w:r w:rsidR="002E2D1B">
        <w:rPr>
          <w:rFonts w:ascii="Arial" w:eastAsia="Times New Roman" w:hAnsi="Arial" w:cs="Arial"/>
          <w:bCs/>
          <w:sz w:val="20"/>
          <w:szCs w:val="20"/>
          <w:highlight w:val="yellow"/>
          <w:lang w:eastAsia="fr-FR"/>
        </w:rPr>
        <w:t>ommittee</w:t>
      </w:r>
      <w:r w:rsidRPr="00AB16DC">
        <w:rPr>
          <w:rFonts w:ascii="Arial" w:eastAsia="Times New Roman" w:hAnsi="Arial" w:cs="Arial"/>
          <w:bCs/>
          <w:sz w:val="20"/>
          <w:szCs w:val="20"/>
          <w:highlight w:val="yellow"/>
          <w:lang w:eastAsia="fr-FR"/>
        </w:rPr>
        <w:t xml:space="preserve"> is to decide on the number of audits performed per year under a self-regulation measure. The number of audits to be performed in a given year must take into account the number of the </w:t>
      </w:r>
      <w:r w:rsidR="00540BB1">
        <w:rPr>
          <w:rFonts w:ascii="Arial" w:eastAsia="Times New Roman" w:hAnsi="Arial" w:cs="Arial"/>
          <w:bCs/>
          <w:sz w:val="20"/>
          <w:szCs w:val="20"/>
          <w:highlight w:val="yellow"/>
          <w:lang w:eastAsia="fr-FR"/>
        </w:rPr>
        <w:t>Signatories</w:t>
      </w:r>
      <w:r w:rsidRPr="00AB16DC">
        <w:rPr>
          <w:rFonts w:ascii="Arial" w:eastAsia="Times New Roman" w:hAnsi="Arial" w:cs="Arial"/>
          <w:bCs/>
          <w:sz w:val="20"/>
          <w:szCs w:val="20"/>
          <w:highlight w:val="yellow"/>
          <w:lang w:eastAsia="fr-FR"/>
        </w:rPr>
        <w:t xml:space="preserve"> to the self-regulation measure and should not be less than 2.</w:t>
      </w:r>
    </w:p>
    <w:p w14:paraId="7EA7006B" w14:textId="73C660B9" w:rsidR="00137825" w:rsidRPr="00AB16DC" w:rsidRDefault="00597233" w:rsidP="008818E0">
      <w:pPr>
        <w:pStyle w:val="ListParagraph"/>
        <w:numPr>
          <w:ilvl w:val="0"/>
          <w:numId w:val="11"/>
        </w:numPr>
        <w:autoSpaceDE w:val="0"/>
        <w:autoSpaceDN w:val="0"/>
        <w:adjustRightInd w:val="0"/>
        <w:jc w:val="both"/>
        <w:rPr>
          <w:rFonts w:ascii="Arial" w:hAnsi="Arial" w:cs="Arial"/>
          <w:sz w:val="20"/>
          <w:szCs w:val="20"/>
        </w:rPr>
      </w:pPr>
      <w:r w:rsidRPr="00721706">
        <w:rPr>
          <w:rFonts w:ascii="Arial" w:eastAsia="Times New Roman" w:hAnsi="Arial"/>
          <w:bCs/>
          <w:sz w:val="20"/>
          <w:szCs w:val="20"/>
          <w:highlight w:val="yellow"/>
          <w:lang w:eastAsia="fr-FR"/>
        </w:rPr>
        <w:t xml:space="preserve">The </w:t>
      </w:r>
      <w:r w:rsidR="00540BB1">
        <w:rPr>
          <w:rFonts w:ascii="Arial" w:eastAsia="Times New Roman" w:hAnsi="Arial"/>
          <w:bCs/>
          <w:sz w:val="20"/>
          <w:szCs w:val="20"/>
          <w:highlight w:val="yellow"/>
          <w:lang w:eastAsia="fr-FR"/>
        </w:rPr>
        <w:t>Signatories</w:t>
      </w:r>
      <w:r w:rsidR="00107D87" w:rsidRPr="00721706">
        <w:rPr>
          <w:rFonts w:ascii="Arial" w:eastAsia="Times New Roman" w:hAnsi="Arial"/>
          <w:bCs/>
          <w:sz w:val="20"/>
          <w:szCs w:val="20"/>
          <w:highlight w:val="yellow"/>
          <w:lang w:eastAsia="fr-FR"/>
        </w:rPr>
        <w:t xml:space="preserve"> will finance a maximum of two audits per year</w:t>
      </w:r>
      <w:r w:rsidR="003F78DC" w:rsidRPr="00721706">
        <w:rPr>
          <w:rFonts w:ascii="Arial" w:eastAsia="Times New Roman" w:hAnsi="Arial" w:cs="Arial"/>
          <w:bCs/>
          <w:sz w:val="20"/>
          <w:szCs w:val="20"/>
          <w:highlight w:val="yellow"/>
          <w:lang w:eastAsia="fr-FR"/>
        </w:rPr>
        <w:t>.</w:t>
      </w:r>
      <w:r w:rsidRPr="00721706">
        <w:rPr>
          <w:rFonts w:ascii="Arial" w:eastAsia="Times New Roman" w:hAnsi="Arial" w:cs="Arial"/>
          <w:bCs/>
          <w:sz w:val="20"/>
          <w:szCs w:val="20"/>
          <w:highlight w:val="yellow"/>
          <w:lang w:eastAsia="fr-FR"/>
        </w:rPr>
        <w:t xml:space="preserve"> </w:t>
      </w:r>
      <w:r w:rsidR="00137825" w:rsidRPr="00721706">
        <w:rPr>
          <w:rFonts w:ascii="Arial" w:eastAsia="Times New Roman" w:hAnsi="Arial" w:cs="Arial"/>
          <w:bCs/>
          <w:sz w:val="20"/>
          <w:szCs w:val="20"/>
          <w:highlight w:val="yellow"/>
          <w:lang w:eastAsia="fr-FR"/>
        </w:rPr>
        <w:t>The Signatories to be</w:t>
      </w:r>
      <w:r w:rsidR="00137825" w:rsidRPr="00AB16DC">
        <w:rPr>
          <w:rFonts w:ascii="Arial" w:eastAsia="Times New Roman" w:hAnsi="Arial" w:cs="Arial"/>
          <w:bCs/>
          <w:sz w:val="20"/>
          <w:szCs w:val="20"/>
          <w:highlight w:val="yellow"/>
          <w:lang w:eastAsia="fr-FR"/>
        </w:rPr>
        <w:t xml:space="preserve"> audited shall be chosen at random by the Independent Inspector</w:t>
      </w:r>
      <w:r w:rsidR="00137825" w:rsidRPr="00AB16DC">
        <w:rPr>
          <w:rFonts w:ascii="Arial" w:eastAsia="Times New Roman" w:hAnsi="Arial" w:cs="Arial"/>
          <w:bCs/>
          <w:sz w:val="20"/>
          <w:szCs w:val="20"/>
          <w:lang w:eastAsia="fr-FR"/>
        </w:rPr>
        <w:t>.</w:t>
      </w:r>
    </w:p>
    <w:p w14:paraId="67C7F990" w14:textId="77777777" w:rsidR="006D3E78" w:rsidRPr="00AB16DC" w:rsidRDefault="008E725D" w:rsidP="008818E0">
      <w:pPr>
        <w:pStyle w:val="ListParagraph"/>
        <w:numPr>
          <w:ilvl w:val="0"/>
          <w:numId w:val="11"/>
        </w:numPr>
        <w:autoSpaceDE w:val="0"/>
        <w:autoSpaceDN w:val="0"/>
        <w:adjustRightInd w:val="0"/>
        <w:jc w:val="both"/>
        <w:rPr>
          <w:rFonts w:ascii="Arial" w:hAnsi="Arial" w:cs="Arial"/>
          <w:sz w:val="20"/>
          <w:szCs w:val="20"/>
          <w:highlight w:val="yellow"/>
        </w:rPr>
      </w:pPr>
      <w:r w:rsidRPr="00AB16DC">
        <w:rPr>
          <w:rFonts w:ascii="Arial" w:hAnsi="Arial" w:cs="Arial"/>
          <w:sz w:val="20"/>
          <w:szCs w:val="20"/>
          <w:highlight w:val="yellow"/>
        </w:rPr>
        <w:t xml:space="preserve">The name of the Signatories </w:t>
      </w:r>
      <w:r w:rsidR="00B72E76" w:rsidRPr="00AB16DC">
        <w:rPr>
          <w:rFonts w:ascii="Arial" w:hAnsi="Arial" w:cs="Arial"/>
          <w:sz w:val="20"/>
          <w:szCs w:val="20"/>
          <w:highlight w:val="yellow"/>
        </w:rPr>
        <w:t xml:space="preserve">to be audited </w:t>
      </w:r>
      <w:r w:rsidRPr="00AB16DC">
        <w:rPr>
          <w:rFonts w:ascii="Arial" w:hAnsi="Arial" w:cs="Arial"/>
          <w:sz w:val="20"/>
          <w:szCs w:val="20"/>
          <w:highlight w:val="yellow"/>
        </w:rPr>
        <w:t>will be notified to the Steering Committee</w:t>
      </w:r>
      <w:r w:rsidR="00AD3F97" w:rsidRPr="00AB16DC">
        <w:rPr>
          <w:rFonts w:ascii="Arial" w:hAnsi="Arial" w:cs="Arial"/>
          <w:sz w:val="20"/>
          <w:szCs w:val="20"/>
          <w:highlight w:val="yellow"/>
        </w:rPr>
        <w:t>.</w:t>
      </w:r>
    </w:p>
    <w:p w14:paraId="7DBDEA57" w14:textId="77777777" w:rsidR="006D3E78" w:rsidRDefault="008E725D" w:rsidP="008818E0">
      <w:pPr>
        <w:pStyle w:val="ListParagraph"/>
        <w:numPr>
          <w:ilvl w:val="0"/>
          <w:numId w:val="11"/>
        </w:numPr>
        <w:autoSpaceDE w:val="0"/>
        <w:autoSpaceDN w:val="0"/>
        <w:adjustRightInd w:val="0"/>
        <w:jc w:val="both"/>
        <w:rPr>
          <w:rFonts w:ascii="Arial" w:hAnsi="Arial" w:cs="Arial"/>
          <w:sz w:val="20"/>
          <w:szCs w:val="20"/>
          <w:highlight w:val="yellow"/>
        </w:rPr>
      </w:pPr>
      <w:r w:rsidRPr="00AB16DC">
        <w:rPr>
          <w:rFonts w:ascii="Arial" w:hAnsi="Arial" w:cs="Arial"/>
          <w:sz w:val="20"/>
          <w:szCs w:val="20"/>
          <w:highlight w:val="yellow"/>
        </w:rPr>
        <w:t xml:space="preserve">A company that has been audited cannot be audited at random for another </w:t>
      </w:r>
      <w:r w:rsidR="00137825" w:rsidRPr="00AB16DC">
        <w:rPr>
          <w:rFonts w:ascii="Arial" w:hAnsi="Arial" w:cs="Arial"/>
          <w:sz w:val="20"/>
          <w:szCs w:val="20"/>
          <w:highlight w:val="yellow"/>
        </w:rPr>
        <w:t>two</w:t>
      </w:r>
      <w:r w:rsidRPr="00AB16DC">
        <w:rPr>
          <w:rFonts w:ascii="Arial" w:hAnsi="Arial" w:cs="Arial"/>
          <w:sz w:val="20"/>
          <w:szCs w:val="20"/>
          <w:highlight w:val="yellow"/>
        </w:rPr>
        <w:t xml:space="preserve"> years</w:t>
      </w:r>
      <w:r w:rsidR="00B37677" w:rsidRPr="00AB16DC">
        <w:rPr>
          <w:rFonts w:ascii="Arial" w:hAnsi="Arial" w:cs="Arial"/>
          <w:sz w:val="20"/>
          <w:szCs w:val="20"/>
          <w:highlight w:val="yellow"/>
        </w:rPr>
        <w:t>.</w:t>
      </w:r>
    </w:p>
    <w:p w14:paraId="58206726" w14:textId="4C53AF9D" w:rsidR="006D3E78" w:rsidRPr="008E43AF" w:rsidRDefault="008E43AF" w:rsidP="008E43AF">
      <w:pPr>
        <w:pStyle w:val="Heading2"/>
        <w:rPr>
          <w:b/>
          <w:highlight w:val="yellow"/>
        </w:rPr>
      </w:pPr>
      <w:r w:rsidRPr="008E43AF">
        <w:rPr>
          <w:b/>
          <w:highlight w:val="yellow"/>
        </w:rPr>
        <w:t>Intelligence based audit</w:t>
      </w:r>
    </w:p>
    <w:p w14:paraId="6E21F6A4" w14:textId="3F8E45A7" w:rsidR="00EF7B6A" w:rsidRPr="00AB16DC" w:rsidRDefault="00137825" w:rsidP="008818E0">
      <w:pPr>
        <w:pStyle w:val="ListParagraph"/>
        <w:numPr>
          <w:ilvl w:val="0"/>
          <w:numId w:val="10"/>
        </w:numPr>
        <w:autoSpaceDE w:val="0"/>
        <w:autoSpaceDN w:val="0"/>
        <w:adjustRightInd w:val="0"/>
        <w:ind w:left="1418"/>
        <w:jc w:val="both"/>
        <w:rPr>
          <w:rFonts w:ascii="Arial" w:hAnsi="Arial" w:cs="Arial"/>
          <w:sz w:val="20"/>
          <w:szCs w:val="20"/>
          <w:highlight w:val="yellow"/>
        </w:rPr>
      </w:pPr>
      <w:r w:rsidRPr="00AB16DC">
        <w:rPr>
          <w:rFonts w:ascii="Arial" w:hAnsi="Arial" w:cs="Arial"/>
          <w:bCs/>
          <w:sz w:val="20"/>
          <w:szCs w:val="20"/>
          <w:highlight w:val="yellow"/>
        </w:rPr>
        <w:t xml:space="preserve">The Independent Inspector may also run an audit of a specific </w:t>
      </w:r>
      <w:r w:rsidR="00540BB1">
        <w:rPr>
          <w:rFonts w:ascii="Arial" w:hAnsi="Arial" w:cs="Arial"/>
          <w:bCs/>
          <w:sz w:val="20"/>
          <w:szCs w:val="20"/>
          <w:highlight w:val="yellow"/>
        </w:rPr>
        <w:t>Signatory</w:t>
      </w:r>
      <w:r w:rsidRPr="00AB16DC">
        <w:rPr>
          <w:rFonts w:ascii="Arial" w:hAnsi="Arial" w:cs="Arial"/>
          <w:bCs/>
          <w:sz w:val="20"/>
          <w:szCs w:val="20"/>
          <w:highlight w:val="yellow"/>
        </w:rPr>
        <w:t xml:space="preserve"> if he concludes that specific information justifies such audit. </w:t>
      </w:r>
      <w:r w:rsidR="00631AA8">
        <w:rPr>
          <w:rFonts w:ascii="Arial" w:hAnsi="Arial" w:cs="Arial"/>
          <w:sz w:val="20"/>
          <w:szCs w:val="20"/>
          <w:highlight w:val="yellow"/>
        </w:rPr>
        <w:t>Any third party</w:t>
      </w:r>
      <w:r w:rsidR="006C5B21" w:rsidRPr="00AB16DC">
        <w:rPr>
          <w:rFonts w:ascii="Arial" w:hAnsi="Arial" w:cs="Arial"/>
          <w:sz w:val="20"/>
          <w:szCs w:val="20"/>
          <w:highlight w:val="yellow"/>
        </w:rPr>
        <w:t xml:space="preserve"> can make allegations of non-compliance</w:t>
      </w:r>
      <w:r w:rsidR="002172B2">
        <w:rPr>
          <w:rFonts w:ascii="Arial" w:hAnsi="Arial" w:cs="Arial"/>
          <w:sz w:val="20"/>
          <w:szCs w:val="20"/>
          <w:highlight w:val="yellow"/>
        </w:rPr>
        <w:t xml:space="preserve"> to the Independent Inspector who will assess the informati</w:t>
      </w:r>
      <w:r w:rsidR="005052C6">
        <w:rPr>
          <w:rFonts w:ascii="Arial" w:hAnsi="Arial" w:cs="Arial"/>
          <w:sz w:val="20"/>
          <w:szCs w:val="20"/>
          <w:highlight w:val="yellow"/>
        </w:rPr>
        <w:t>on, make</w:t>
      </w:r>
      <w:r w:rsidR="002172B2">
        <w:rPr>
          <w:rFonts w:ascii="Arial" w:hAnsi="Arial" w:cs="Arial"/>
          <w:sz w:val="20"/>
          <w:szCs w:val="20"/>
          <w:highlight w:val="yellow"/>
        </w:rPr>
        <w:t xml:space="preserve"> a recommendation to the Steering Committee</w:t>
      </w:r>
      <w:r w:rsidR="005052C6">
        <w:rPr>
          <w:rFonts w:ascii="Arial" w:hAnsi="Arial" w:cs="Arial"/>
          <w:sz w:val="20"/>
          <w:szCs w:val="20"/>
          <w:highlight w:val="yellow"/>
        </w:rPr>
        <w:t>, before proceeding with a new audit</w:t>
      </w:r>
      <w:r w:rsidR="006C5B21" w:rsidRPr="00AB16DC">
        <w:rPr>
          <w:rFonts w:ascii="Arial" w:hAnsi="Arial" w:cs="Arial"/>
          <w:sz w:val="20"/>
          <w:szCs w:val="20"/>
          <w:highlight w:val="yellow"/>
        </w:rPr>
        <w:t xml:space="preserve">. </w:t>
      </w:r>
      <w:r w:rsidRPr="00AB16DC">
        <w:rPr>
          <w:rFonts w:ascii="Arial" w:hAnsi="Arial" w:cs="Arial"/>
          <w:bCs/>
          <w:sz w:val="20"/>
          <w:szCs w:val="20"/>
          <w:highlight w:val="yellow"/>
        </w:rPr>
        <w:t xml:space="preserve">The specific information justifying such audit must be disclosed to an audited </w:t>
      </w:r>
      <w:r w:rsidR="00540BB1">
        <w:rPr>
          <w:rFonts w:ascii="Arial" w:hAnsi="Arial" w:cs="Arial"/>
          <w:bCs/>
          <w:sz w:val="20"/>
          <w:szCs w:val="20"/>
          <w:highlight w:val="yellow"/>
        </w:rPr>
        <w:t>Signatory</w:t>
      </w:r>
      <w:r w:rsidRPr="00AB16DC">
        <w:rPr>
          <w:rFonts w:ascii="Arial" w:hAnsi="Arial" w:cs="Arial"/>
          <w:bCs/>
          <w:sz w:val="20"/>
          <w:szCs w:val="20"/>
          <w:highlight w:val="yellow"/>
        </w:rPr>
        <w:t>. The Independent Inspector must inform the S</w:t>
      </w:r>
      <w:r w:rsidR="00A0693D">
        <w:rPr>
          <w:rFonts w:ascii="Arial" w:hAnsi="Arial" w:cs="Arial"/>
          <w:bCs/>
          <w:sz w:val="20"/>
          <w:szCs w:val="20"/>
          <w:highlight w:val="yellow"/>
        </w:rPr>
        <w:t xml:space="preserve">teering Committee </w:t>
      </w:r>
      <w:r w:rsidRPr="00AB16DC">
        <w:rPr>
          <w:rFonts w:ascii="Arial" w:hAnsi="Arial" w:cs="Arial"/>
          <w:bCs/>
          <w:sz w:val="20"/>
          <w:szCs w:val="20"/>
          <w:highlight w:val="yellow"/>
        </w:rPr>
        <w:t xml:space="preserve">of the </w:t>
      </w:r>
      <w:r w:rsidR="00A0693D">
        <w:rPr>
          <w:rFonts w:ascii="Arial" w:hAnsi="Arial" w:cs="Arial"/>
          <w:bCs/>
          <w:sz w:val="20"/>
          <w:szCs w:val="20"/>
          <w:highlight w:val="yellow"/>
        </w:rPr>
        <w:t>S</w:t>
      </w:r>
      <w:r w:rsidRPr="00AB16DC">
        <w:rPr>
          <w:rFonts w:ascii="Arial" w:hAnsi="Arial" w:cs="Arial"/>
          <w:bCs/>
          <w:sz w:val="20"/>
          <w:szCs w:val="20"/>
          <w:highlight w:val="yellow"/>
        </w:rPr>
        <w:t xml:space="preserve">ignatories chosen </w:t>
      </w:r>
      <w:r w:rsidR="00A0693D" w:rsidRPr="00AB16DC">
        <w:rPr>
          <w:rFonts w:ascii="Arial" w:hAnsi="Arial" w:cs="Arial"/>
          <w:bCs/>
          <w:sz w:val="20"/>
          <w:szCs w:val="20"/>
          <w:highlight w:val="yellow"/>
        </w:rPr>
        <w:t>to be subject to audits</w:t>
      </w:r>
      <w:r w:rsidR="00A0693D">
        <w:rPr>
          <w:rFonts w:ascii="Arial" w:hAnsi="Arial" w:cs="Arial"/>
          <w:bCs/>
          <w:sz w:val="20"/>
          <w:szCs w:val="20"/>
          <w:highlight w:val="yellow"/>
        </w:rPr>
        <w:t>.</w:t>
      </w:r>
    </w:p>
    <w:p w14:paraId="27FFE99D" w14:textId="023514FD" w:rsidR="001E0FB3" w:rsidRPr="00AB16DC" w:rsidRDefault="00137825" w:rsidP="008818E0">
      <w:pPr>
        <w:pStyle w:val="ListParagraph"/>
        <w:numPr>
          <w:ilvl w:val="0"/>
          <w:numId w:val="10"/>
        </w:numPr>
        <w:autoSpaceDE w:val="0"/>
        <w:autoSpaceDN w:val="0"/>
        <w:adjustRightInd w:val="0"/>
        <w:ind w:left="1418"/>
        <w:jc w:val="both"/>
        <w:rPr>
          <w:rFonts w:ascii="Arial" w:hAnsi="Arial" w:cs="Arial"/>
          <w:sz w:val="20"/>
          <w:szCs w:val="20"/>
          <w:highlight w:val="yellow"/>
        </w:rPr>
      </w:pPr>
      <w:r w:rsidRPr="00AB16DC">
        <w:rPr>
          <w:rFonts w:ascii="Arial" w:hAnsi="Arial" w:cs="Arial"/>
          <w:bCs/>
          <w:sz w:val="20"/>
          <w:szCs w:val="20"/>
          <w:highlight w:val="yellow"/>
        </w:rPr>
        <w:t xml:space="preserve">The Independent Inspector must inform the </w:t>
      </w:r>
      <w:r w:rsidR="00540BB1">
        <w:rPr>
          <w:rFonts w:ascii="Arial" w:hAnsi="Arial" w:cs="Arial"/>
          <w:bCs/>
          <w:sz w:val="20"/>
          <w:szCs w:val="20"/>
          <w:highlight w:val="yellow"/>
        </w:rPr>
        <w:t>Signatory</w:t>
      </w:r>
      <w:r w:rsidRPr="00AB16DC">
        <w:rPr>
          <w:rFonts w:ascii="Arial" w:hAnsi="Arial" w:cs="Arial"/>
          <w:bCs/>
          <w:sz w:val="20"/>
          <w:szCs w:val="20"/>
          <w:highlight w:val="yellow"/>
        </w:rPr>
        <w:t xml:space="preserve"> about its audit on the first day of the audit.</w:t>
      </w:r>
    </w:p>
    <w:p w14:paraId="0B8CB491" w14:textId="77777777" w:rsidR="006D3E78" w:rsidRPr="00AB16DC" w:rsidRDefault="008E725D" w:rsidP="008818E0">
      <w:pPr>
        <w:pStyle w:val="ListParagraph"/>
        <w:numPr>
          <w:ilvl w:val="0"/>
          <w:numId w:val="10"/>
        </w:numPr>
        <w:autoSpaceDE w:val="0"/>
        <w:autoSpaceDN w:val="0"/>
        <w:adjustRightInd w:val="0"/>
        <w:ind w:left="1418"/>
        <w:jc w:val="both"/>
        <w:rPr>
          <w:rFonts w:ascii="Arial" w:hAnsi="Arial" w:cs="Arial"/>
          <w:sz w:val="20"/>
          <w:szCs w:val="20"/>
          <w:highlight w:val="yellow"/>
        </w:rPr>
      </w:pPr>
      <w:r w:rsidRPr="00AB16DC">
        <w:rPr>
          <w:rFonts w:ascii="Arial" w:hAnsi="Arial" w:cs="Arial"/>
          <w:sz w:val="20"/>
          <w:szCs w:val="20"/>
          <w:highlight w:val="yellow"/>
        </w:rPr>
        <w:t>The costs should be covered by the entity making the accusation and reimbursed by the Signatory in case the non-compliance is proven.</w:t>
      </w:r>
    </w:p>
    <w:p w14:paraId="2FF7E230" w14:textId="77777777" w:rsidR="006F0D99" w:rsidRPr="00AB16DC" w:rsidRDefault="006F0D99" w:rsidP="008818E0">
      <w:pPr>
        <w:contextualSpacing/>
        <w:jc w:val="both"/>
      </w:pPr>
    </w:p>
    <w:p w14:paraId="53AD182A" w14:textId="6FDCF465" w:rsidR="006F0D99" w:rsidRPr="00AB16DC" w:rsidRDefault="006F0D99" w:rsidP="008818E0">
      <w:pPr>
        <w:autoSpaceDE w:val="0"/>
        <w:autoSpaceDN w:val="0"/>
        <w:adjustRightInd w:val="0"/>
        <w:ind w:left="426"/>
        <w:contextualSpacing/>
        <w:jc w:val="both"/>
        <w:rPr>
          <w:bCs/>
          <w:highlight w:val="yellow"/>
        </w:rPr>
      </w:pPr>
      <w:r w:rsidRPr="00AB16DC">
        <w:rPr>
          <w:bCs/>
          <w:highlight w:val="yellow"/>
        </w:rPr>
        <w:t xml:space="preserve">The Independent Inspector must prepare a draft of the audit report within thirty days following the closure of the audit procedure. The draft report must be sent to the audited </w:t>
      </w:r>
      <w:r w:rsidR="00540BB1">
        <w:rPr>
          <w:bCs/>
          <w:highlight w:val="yellow"/>
        </w:rPr>
        <w:t>Signatory</w:t>
      </w:r>
      <w:r w:rsidR="00D67530" w:rsidRPr="00AB16DC">
        <w:rPr>
          <w:bCs/>
          <w:highlight w:val="yellow"/>
        </w:rPr>
        <w:t>, which</w:t>
      </w:r>
      <w:r w:rsidR="00B37677" w:rsidRPr="00AB16DC">
        <w:rPr>
          <w:bCs/>
          <w:highlight w:val="yellow"/>
        </w:rPr>
        <w:t xml:space="preserve"> is</w:t>
      </w:r>
      <w:r w:rsidRPr="00AB16DC">
        <w:rPr>
          <w:bCs/>
          <w:highlight w:val="yellow"/>
        </w:rPr>
        <w:t xml:space="preserve"> to provide its comments within fourteen days of the receipt of the draft report. The Independent Inspector must, within </w:t>
      </w:r>
      <w:r w:rsidR="008356C3" w:rsidRPr="00AB16DC">
        <w:rPr>
          <w:bCs/>
          <w:highlight w:val="yellow"/>
        </w:rPr>
        <w:t>twenty</w:t>
      </w:r>
      <w:r w:rsidRPr="00AB16DC">
        <w:rPr>
          <w:bCs/>
          <w:highlight w:val="yellow"/>
        </w:rPr>
        <w:t xml:space="preserve"> days, modify, where appropriate, the draft report following comments received from the </w:t>
      </w:r>
      <w:r w:rsidR="00540BB1">
        <w:rPr>
          <w:bCs/>
          <w:highlight w:val="yellow"/>
        </w:rPr>
        <w:t>Signatory</w:t>
      </w:r>
      <w:r w:rsidRPr="00AB16DC">
        <w:rPr>
          <w:bCs/>
          <w:highlight w:val="yellow"/>
        </w:rPr>
        <w:t xml:space="preserve">. It must specify in the report which comments provided by the </w:t>
      </w:r>
      <w:r w:rsidR="00540BB1">
        <w:rPr>
          <w:bCs/>
          <w:highlight w:val="yellow"/>
        </w:rPr>
        <w:t>Signatory</w:t>
      </w:r>
      <w:r w:rsidRPr="00AB16DC">
        <w:rPr>
          <w:bCs/>
          <w:highlight w:val="yellow"/>
        </w:rPr>
        <w:t xml:space="preserve"> have not been taken into account. </w:t>
      </w:r>
    </w:p>
    <w:p w14:paraId="3284DD19" w14:textId="77777777" w:rsidR="008356C3" w:rsidRPr="00AB16DC" w:rsidRDefault="008356C3" w:rsidP="008818E0">
      <w:pPr>
        <w:autoSpaceDE w:val="0"/>
        <w:autoSpaceDN w:val="0"/>
        <w:adjustRightInd w:val="0"/>
        <w:ind w:left="426"/>
        <w:contextualSpacing/>
        <w:jc w:val="both"/>
        <w:rPr>
          <w:bCs/>
          <w:highlight w:val="yellow"/>
        </w:rPr>
      </w:pPr>
    </w:p>
    <w:p w14:paraId="0A089A82" w14:textId="4F325F20" w:rsidR="00E62122" w:rsidRDefault="008356C3" w:rsidP="008818E0">
      <w:pPr>
        <w:autoSpaceDE w:val="0"/>
        <w:autoSpaceDN w:val="0"/>
        <w:adjustRightInd w:val="0"/>
        <w:ind w:left="426"/>
        <w:contextualSpacing/>
        <w:jc w:val="both"/>
        <w:rPr>
          <w:rFonts w:eastAsia="Times New Roman"/>
          <w:bCs/>
          <w:lang w:eastAsia="fr-FR"/>
        </w:rPr>
      </w:pPr>
      <w:r w:rsidRPr="00AB16DC">
        <w:rPr>
          <w:rFonts w:eastAsia="Times New Roman"/>
          <w:bCs/>
          <w:highlight w:val="yellow"/>
          <w:lang w:eastAsia="fr-FR"/>
        </w:rPr>
        <w:t xml:space="preserve">Within 15 days after the preparation of the final report, the Independent Inspector must submit to all members of the </w:t>
      </w:r>
      <w:r w:rsidR="00540BB1">
        <w:rPr>
          <w:rFonts w:eastAsia="Times New Roman"/>
          <w:bCs/>
          <w:highlight w:val="yellow"/>
          <w:lang w:eastAsia="fr-FR"/>
        </w:rPr>
        <w:t>Steering Committee</w:t>
      </w:r>
      <w:r w:rsidRPr="00AB16DC">
        <w:rPr>
          <w:rFonts w:eastAsia="Times New Roman"/>
          <w:bCs/>
          <w:highlight w:val="yellow"/>
          <w:lang w:eastAsia="fr-FR"/>
        </w:rPr>
        <w:t xml:space="preserve"> a summary of the performed audit and to present it at the first meeting of the </w:t>
      </w:r>
      <w:r w:rsidR="00540BB1">
        <w:rPr>
          <w:rFonts w:eastAsia="Times New Roman"/>
          <w:bCs/>
          <w:highlight w:val="yellow"/>
          <w:lang w:eastAsia="fr-FR"/>
        </w:rPr>
        <w:t>Steering Committee</w:t>
      </w:r>
      <w:r w:rsidRPr="00AB16DC">
        <w:rPr>
          <w:rFonts w:eastAsia="Times New Roman"/>
          <w:bCs/>
          <w:highlight w:val="yellow"/>
          <w:lang w:eastAsia="fr-FR"/>
        </w:rPr>
        <w:t xml:space="preserve"> held after the audit.</w:t>
      </w:r>
    </w:p>
    <w:p w14:paraId="5A78410A" w14:textId="77777777" w:rsidR="00AF4887" w:rsidRDefault="00AF4887" w:rsidP="008818E0">
      <w:pPr>
        <w:autoSpaceDE w:val="0"/>
        <w:autoSpaceDN w:val="0"/>
        <w:adjustRightInd w:val="0"/>
        <w:ind w:left="426"/>
        <w:contextualSpacing/>
        <w:jc w:val="both"/>
      </w:pPr>
    </w:p>
    <w:p w14:paraId="7BE1D871" w14:textId="77777777" w:rsidR="00C60FF9" w:rsidRDefault="00C60FF9" w:rsidP="008818E0">
      <w:pPr>
        <w:autoSpaceDE w:val="0"/>
        <w:autoSpaceDN w:val="0"/>
        <w:adjustRightInd w:val="0"/>
        <w:ind w:left="426"/>
        <w:contextualSpacing/>
        <w:jc w:val="both"/>
      </w:pPr>
    </w:p>
    <w:p w14:paraId="54B90126" w14:textId="77777777" w:rsidR="007132AA" w:rsidRPr="00CD5A46" w:rsidRDefault="00A55770" w:rsidP="008818E0">
      <w:pPr>
        <w:pStyle w:val="Heading1"/>
        <w:spacing w:before="0" w:after="0"/>
        <w:contextualSpacing/>
        <w:jc w:val="both"/>
      </w:pPr>
      <w:bookmarkStart w:id="202" w:name="_Toc375572554"/>
      <w:r w:rsidRPr="00CD5A46">
        <w:t>Nature and Organization of the Voluntary Agreement</w:t>
      </w:r>
      <w:bookmarkEnd w:id="201"/>
      <w:bookmarkEnd w:id="202"/>
      <w:r w:rsidR="004E1310" w:rsidRPr="00CD5A46">
        <w:t xml:space="preserve"> </w:t>
      </w:r>
    </w:p>
    <w:p w14:paraId="586DEFB0" w14:textId="77777777" w:rsidR="00A55770" w:rsidRPr="00CD5A46" w:rsidRDefault="00A55770" w:rsidP="008818E0">
      <w:pPr>
        <w:contextualSpacing/>
        <w:jc w:val="both"/>
      </w:pPr>
      <w:bookmarkStart w:id="203" w:name="_Toc254161800"/>
      <w:bookmarkEnd w:id="203"/>
    </w:p>
    <w:p w14:paraId="2AF06F9C" w14:textId="77777777" w:rsidR="00886884" w:rsidRDefault="00A55770" w:rsidP="008818E0">
      <w:pPr>
        <w:pStyle w:val="Heading2"/>
        <w:spacing w:before="0" w:after="0"/>
        <w:contextualSpacing/>
        <w:jc w:val="both"/>
        <w:rPr>
          <w:b/>
        </w:rPr>
      </w:pPr>
      <w:bookmarkStart w:id="204" w:name="_Toc375308153"/>
      <w:bookmarkStart w:id="205" w:name="_Toc375572555"/>
      <w:r w:rsidRPr="00B02BD1">
        <w:rPr>
          <w:b/>
        </w:rPr>
        <w:t>Nature of the Voluntary Agreement</w:t>
      </w:r>
      <w:bookmarkEnd w:id="204"/>
      <w:bookmarkEnd w:id="205"/>
    </w:p>
    <w:p w14:paraId="452929E1" w14:textId="77777777" w:rsidR="00AF4887" w:rsidRPr="00AF4887" w:rsidRDefault="00AF4887" w:rsidP="008818E0">
      <w:pPr>
        <w:jc w:val="both"/>
      </w:pPr>
    </w:p>
    <w:p w14:paraId="6E025315" w14:textId="77777777" w:rsidR="00886884" w:rsidRDefault="00A55770" w:rsidP="008818E0">
      <w:pPr>
        <w:pStyle w:val="Heading2"/>
        <w:numPr>
          <w:ilvl w:val="0"/>
          <w:numId w:val="0"/>
        </w:numPr>
        <w:spacing w:before="0" w:after="0"/>
        <w:ind w:left="360"/>
        <w:contextualSpacing/>
        <w:jc w:val="both"/>
      </w:pPr>
      <w:bookmarkStart w:id="206" w:name="_Toc375308154"/>
      <w:bookmarkStart w:id="207" w:name="_Toc375572556"/>
      <w:r w:rsidRPr="00CD5A46">
        <w:t xml:space="preserve">The Signatory signs and enters into this </w:t>
      </w:r>
      <w:r w:rsidR="00FA3A26" w:rsidRPr="00CD5A46">
        <w:t>Agreement</w:t>
      </w:r>
      <w:r w:rsidRPr="00CD5A46">
        <w:t xml:space="preserve"> for and on behalf of itself and makes its </w:t>
      </w:r>
      <w:r w:rsidR="00705BA1" w:rsidRPr="00CD5A46">
        <w:t>c</w:t>
      </w:r>
      <w:r w:rsidR="009412E0" w:rsidRPr="00CD5A46">
        <w:t>ommitment</w:t>
      </w:r>
      <w:r w:rsidRPr="00CD5A46">
        <w:t xml:space="preserve"> under the </w:t>
      </w:r>
      <w:r w:rsidR="00A45CE1" w:rsidRPr="00CD5A46">
        <w:t xml:space="preserve">Voluntary </w:t>
      </w:r>
      <w:r w:rsidR="00FA3A26" w:rsidRPr="00CD5A46">
        <w:t>Agreement</w:t>
      </w:r>
      <w:r w:rsidRPr="00CD5A46">
        <w:t xml:space="preserve"> to the European Commission. </w:t>
      </w:r>
      <w:r w:rsidR="00826972" w:rsidRPr="00CD5A46">
        <w:t xml:space="preserve">The consequences of non-compliance are set out in </w:t>
      </w:r>
      <w:r w:rsidR="005D2069" w:rsidRPr="00AF4887">
        <w:rPr>
          <w:highlight w:val="yellow"/>
        </w:rPr>
        <w:t xml:space="preserve">section </w:t>
      </w:r>
      <w:r w:rsidR="00A47679" w:rsidRPr="00AF4887">
        <w:rPr>
          <w:highlight w:val="yellow"/>
        </w:rPr>
        <w:fldChar w:fldCharType="begin"/>
      </w:r>
      <w:r w:rsidR="00A47679" w:rsidRPr="00AF4887">
        <w:rPr>
          <w:highlight w:val="yellow"/>
        </w:rPr>
        <w:instrText xml:space="preserve"> REF _Ref254011664 \r \h  \* MERGEFORMAT </w:instrText>
      </w:r>
      <w:r w:rsidR="00A47679" w:rsidRPr="00AF4887">
        <w:rPr>
          <w:highlight w:val="yellow"/>
        </w:rPr>
      </w:r>
      <w:r w:rsidR="00A47679" w:rsidRPr="00AF4887">
        <w:rPr>
          <w:highlight w:val="yellow"/>
        </w:rPr>
        <w:fldChar w:fldCharType="separate"/>
      </w:r>
      <w:r w:rsidR="00B675AF" w:rsidRPr="00AF4887">
        <w:rPr>
          <w:highlight w:val="yellow"/>
        </w:rPr>
        <w:t>12</w:t>
      </w:r>
      <w:r w:rsidR="00A47679" w:rsidRPr="00AF4887">
        <w:rPr>
          <w:highlight w:val="yellow"/>
        </w:rPr>
        <w:fldChar w:fldCharType="end"/>
      </w:r>
      <w:r w:rsidR="00826972" w:rsidRPr="00CD5A46">
        <w:t>.</w:t>
      </w:r>
      <w:bookmarkEnd w:id="206"/>
      <w:bookmarkEnd w:id="207"/>
    </w:p>
    <w:p w14:paraId="5738887C" w14:textId="77777777" w:rsidR="00AF4887" w:rsidRPr="00AF4887" w:rsidRDefault="00AF4887" w:rsidP="008818E0">
      <w:pPr>
        <w:jc w:val="both"/>
      </w:pPr>
    </w:p>
    <w:p w14:paraId="181E6DD4" w14:textId="77777777" w:rsidR="00886884" w:rsidRDefault="00A55770" w:rsidP="008818E0">
      <w:pPr>
        <w:pStyle w:val="Heading2"/>
        <w:numPr>
          <w:ilvl w:val="0"/>
          <w:numId w:val="0"/>
        </w:numPr>
        <w:spacing w:before="0" w:after="0"/>
        <w:ind w:left="360"/>
        <w:contextualSpacing/>
        <w:jc w:val="both"/>
      </w:pPr>
      <w:bookmarkStart w:id="208" w:name="_Toc375308155"/>
      <w:bookmarkStart w:id="209" w:name="_Toc375572557"/>
      <w:r w:rsidRPr="00CD5A46">
        <w:lastRenderedPageBreak/>
        <w:t xml:space="preserve">This </w:t>
      </w:r>
      <w:r w:rsidR="005719CA" w:rsidRPr="00CD5A46">
        <w:t>Agreement</w:t>
      </w:r>
      <w:r w:rsidRPr="00CD5A46">
        <w:t xml:space="preserve"> shall not amount to a commercial agreement and shall not give rise to any commercial expectations or liabilities between the Signatories in respect of the </w:t>
      </w:r>
      <w:r w:rsidR="003D4437" w:rsidRPr="00CD5A46">
        <w:t>fulfilment</w:t>
      </w:r>
      <w:r w:rsidRPr="00CD5A46">
        <w:t xml:space="preserve"> of their individual </w:t>
      </w:r>
      <w:r w:rsidR="0096683F" w:rsidRPr="00CD5A46">
        <w:t>C</w:t>
      </w:r>
      <w:r w:rsidRPr="00CD5A46">
        <w:t xml:space="preserve">ommitments </w:t>
      </w:r>
      <w:r w:rsidR="0096683F" w:rsidRPr="00CD5A46">
        <w:t>as listed in this Voluntary Agreement</w:t>
      </w:r>
      <w:r w:rsidRPr="00CD5A46">
        <w:t>.</w:t>
      </w:r>
      <w:bookmarkEnd w:id="208"/>
      <w:bookmarkEnd w:id="209"/>
      <w:r w:rsidRPr="00CD5A46">
        <w:t xml:space="preserve"> </w:t>
      </w:r>
    </w:p>
    <w:p w14:paraId="2ED8DE88" w14:textId="77777777" w:rsidR="00AF4887" w:rsidRPr="00AF4887" w:rsidRDefault="00AF4887" w:rsidP="008818E0">
      <w:pPr>
        <w:jc w:val="both"/>
      </w:pPr>
    </w:p>
    <w:p w14:paraId="26EC5EE1" w14:textId="62682293" w:rsidR="00A55770" w:rsidRDefault="00C73258" w:rsidP="008818E0">
      <w:pPr>
        <w:pStyle w:val="Heading2"/>
        <w:numPr>
          <w:ilvl w:val="0"/>
          <w:numId w:val="0"/>
        </w:numPr>
        <w:spacing w:before="0" w:after="0"/>
        <w:ind w:left="360"/>
        <w:contextualSpacing/>
        <w:jc w:val="both"/>
      </w:pPr>
      <w:bookmarkStart w:id="210" w:name="_Toc375308156"/>
      <w:bookmarkStart w:id="211" w:name="_Toc375572558"/>
      <w:r>
        <w:t>Each</w:t>
      </w:r>
      <w:r w:rsidRPr="00CD5A46">
        <w:t xml:space="preserve"> </w:t>
      </w:r>
      <w:r w:rsidR="00A55770" w:rsidRPr="00CD5A46">
        <w:t>Signator</w:t>
      </w:r>
      <w:r>
        <w:t>y</w:t>
      </w:r>
      <w:r w:rsidR="00A55770" w:rsidRPr="00CD5A46">
        <w:t xml:space="preserve"> </w:t>
      </w:r>
      <w:r w:rsidR="00D33359" w:rsidRPr="00CD5A46">
        <w:t>shall</w:t>
      </w:r>
      <w:r w:rsidR="00A55770" w:rsidRPr="00CD5A46">
        <w:t xml:space="preserve"> be treated equally and there shall be no special arrangements for individual Signatories.</w:t>
      </w:r>
      <w:bookmarkEnd w:id="210"/>
      <w:bookmarkEnd w:id="211"/>
    </w:p>
    <w:p w14:paraId="50DDC6F2" w14:textId="77777777" w:rsidR="00AF4887" w:rsidRPr="00AF4887" w:rsidRDefault="00AF4887" w:rsidP="008818E0">
      <w:pPr>
        <w:jc w:val="both"/>
      </w:pPr>
    </w:p>
    <w:p w14:paraId="29CABE93" w14:textId="77777777" w:rsidR="00886884" w:rsidRDefault="00A55770" w:rsidP="008818E0">
      <w:pPr>
        <w:pStyle w:val="Heading2"/>
        <w:spacing w:before="0" w:after="0"/>
        <w:contextualSpacing/>
        <w:jc w:val="both"/>
        <w:rPr>
          <w:b/>
        </w:rPr>
      </w:pPr>
      <w:bookmarkStart w:id="212" w:name="_Ref254012298"/>
      <w:bookmarkStart w:id="213" w:name="_Toc375308157"/>
      <w:bookmarkStart w:id="214" w:name="_Toc375572559"/>
      <w:r w:rsidRPr="00B02BD1">
        <w:rPr>
          <w:b/>
        </w:rPr>
        <w:t>Organisation of the Voluntary Agreement</w:t>
      </w:r>
      <w:bookmarkEnd w:id="212"/>
      <w:bookmarkEnd w:id="213"/>
      <w:bookmarkEnd w:id="214"/>
    </w:p>
    <w:p w14:paraId="67260CF3" w14:textId="77777777" w:rsidR="00AF4887" w:rsidRPr="00AF4887" w:rsidRDefault="00AF4887" w:rsidP="008818E0">
      <w:pPr>
        <w:jc w:val="both"/>
      </w:pPr>
    </w:p>
    <w:p w14:paraId="5BE594FD" w14:textId="77777777" w:rsidR="00886884" w:rsidRDefault="00191839" w:rsidP="008818E0">
      <w:pPr>
        <w:pStyle w:val="Heading2"/>
        <w:numPr>
          <w:ilvl w:val="0"/>
          <w:numId w:val="0"/>
        </w:numPr>
        <w:spacing w:before="0" w:after="0"/>
        <w:ind w:left="360"/>
        <w:contextualSpacing/>
        <w:jc w:val="both"/>
      </w:pPr>
      <w:bookmarkStart w:id="215" w:name="_Toc375308158"/>
      <w:bookmarkStart w:id="216" w:name="_Toc375572560"/>
      <w:r w:rsidRPr="00886884">
        <w:rPr>
          <w:highlight w:val="yellow"/>
        </w:rPr>
        <w:t xml:space="preserve">Signatories and the </w:t>
      </w:r>
      <w:r w:rsidR="00540BB1" w:rsidRPr="00886884">
        <w:rPr>
          <w:highlight w:val="yellow"/>
        </w:rPr>
        <w:t xml:space="preserve">European </w:t>
      </w:r>
      <w:r w:rsidRPr="00886884">
        <w:rPr>
          <w:highlight w:val="yellow"/>
        </w:rPr>
        <w:t>Commission are members of the Steering Committee.</w:t>
      </w:r>
      <w:r>
        <w:t xml:space="preserve"> </w:t>
      </w:r>
      <w:r w:rsidR="00A55770" w:rsidRPr="00CD5A46">
        <w:t xml:space="preserve">Each Signatory to the </w:t>
      </w:r>
      <w:r w:rsidR="00A45CE1" w:rsidRPr="00CD5A46">
        <w:t xml:space="preserve">Voluntary </w:t>
      </w:r>
      <w:r w:rsidR="005719CA" w:rsidRPr="00CD5A46">
        <w:t>Agreement</w:t>
      </w:r>
      <w:r w:rsidR="00A55770" w:rsidRPr="00CD5A46">
        <w:t xml:space="preserve"> as well as the European Commission shall have the right to nominate one person to represent it at the Steering Committee.</w:t>
      </w:r>
      <w:bookmarkEnd w:id="215"/>
      <w:bookmarkEnd w:id="216"/>
    </w:p>
    <w:p w14:paraId="39CBBAB7" w14:textId="77777777" w:rsidR="00AF4887" w:rsidRPr="00AF4887" w:rsidRDefault="00AF4887" w:rsidP="008818E0">
      <w:pPr>
        <w:jc w:val="both"/>
      </w:pPr>
    </w:p>
    <w:p w14:paraId="127C4705" w14:textId="77777777" w:rsidR="00886884" w:rsidRDefault="00A55770" w:rsidP="008818E0">
      <w:pPr>
        <w:pStyle w:val="Heading2"/>
        <w:numPr>
          <w:ilvl w:val="0"/>
          <w:numId w:val="0"/>
        </w:numPr>
        <w:spacing w:before="0" w:after="0"/>
        <w:ind w:left="360"/>
        <w:contextualSpacing/>
        <w:jc w:val="both"/>
      </w:pPr>
      <w:bookmarkStart w:id="217" w:name="_Toc375308159"/>
      <w:bookmarkStart w:id="218" w:name="_Toc375572561"/>
      <w:r w:rsidRPr="00CD5A46">
        <w:t>The Steering Committee shall elect, from amongst its members, a Chair</w:t>
      </w:r>
      <w:r w:rsidR="006C5B21">
        <w:t xml:space="preserve"> </w:t>
      </w:r>
      <w:r w:rsidR="006C5B21" w:rsidRPr="00EF7B6A">
        <w:rPr>
          <w:highlight w:val="yellow"/>
        </w:rPr>
        <w:t>for a mandate of two years</w:t>
      </w:r>
      <w:r w:rsidRPr="00EF7B6A">
        <w:rPr>
          <w:highlight w:val="yellow"/>
        </w:rPr>
        <w:t xml:space="preserve">. </w:t>
      </w:r>
      <w:r w:rsidR="00160D31" w:rsidRPr="00EF7B6A">
        <w:rPr>
          <w:bCs w:val="0"/>
          <w:highlight w:val="yellow"/>
        </w:rPr>
        <w:t xml:space="preserve">The members of the </w:t>
      </w:r>
      <w:r w:rsidR="00540BB1">
        <w:rPr>
          <w:bCs w:val="0"/>
          <w:highlight w:val="yellow"/>
        </w:rPr>
        <w:t>Steering Committee</w:t>
      </w:r>
      <w:r w:rsidR="00160D31" w:rsidRPr="00EF7B6A">
        <w:rPr>
          <w:bCs w:val="0"/>
          <w:highlight w:val="yellow"/>
        </w:rPr>
        <w:t xml:space="preserve"> can shorten or end the term of the Chair at any time.</w:t>
      </w:r>
      <w:r w:rsidR="00160D31">
        <w:rPr>
          <w:bCs w:val="0"/>
        </w:rPr>
        <w:t xml:space="preserve"> </w:t>
      </w:r>
      <w:r w:rsidRPr="00CD5A46">
        <w:t>The Chair shall be responsible for convening the Steering Committee</w:t>
      </w:r>
      <w:r w:rsidR="00EE32B0" w:rsidRPr="00CD5A46">
        <w:t xml:space="preserve"> at least</w:t>
      </w:r>
      <w:r w:rsidRPr="00CD5A46">
        <w:t xml:space="preserve"> </w:t>
      </w:r>
      <w:r w:rsidR="004D24D5" w:rsidRPr="00CD5A46">
        <w:t>twice</w:t>
      </w:r>
      <w:r w:rsidR="00073090" w:rsidRPr="00CD5A46">
        <w:t xml:space="preserve"> </w:t>
      </w:r>
      <w:r w:rsidR="00705BA1" w:rsidRPr="00CD5A46">
        <w:t xml:space="preserve">a year, in order </w:t>
      </w:r>
      <w:r w:rsidR="00B90244" w:rsidRPr="00CD5A46">
        <w:t xml:space="preserve">inter alia </w:t>
      </w:r>
      <w:r w:rsidR="00705BA1" w:rsidRPr="00CD5A46">
        <w:t xml:space="preserve">to review progress and </w:t>
      </w:r>
      <w:r w:rsidR="00021CC4" w:rsidRPr="00CD5A46">
        <w:t>analy</w:t>
      </w:r>
      <w:r w:rsidR="00A45CE1" w:rsidRPr="00CD5A46">
        <w:t>s</w:t>
      </w:r>
      <w:r w:rsidR="00021CC4" w:rsidRPr="00CD5A46">
        <w:t>e</w:t>
      </w:r>
      <w:r w:rsidR="00705BA1" w:rsidRPr="00CD5A46">
        <w:t xml:space="preserve"> and discuss report</w:t>
      </w:r>
      <w:r w:rsidR="00EE32B0" w:rsidRPr="00CD5A46">
        <w:t>s</w:t>
      </w:r>
      <w:r w:rsidR="00705BA1" w:rsidRPr="00CD5A46">
        <w:t xml:space="preserve"> presented by the Independent Inspector</w:t>
      </w:r>
      <w:r w:rsidR="00EE32B0" w:rsidRPr="00CD5A46">
        <w:t xml:space="preserve">. </w:t>
      </w:r>
      <w:r w:rsidRPr="00CD5A46">
        <w:t>The Chair shall, however, have no executive or representative function unless this is delegated to them by the Steering Committee.</w:t>
      </w:r>
      <w:bookmarkEnd w:id="217"/>
      <w:bookmarkEnd w:id="218"/>
      <w:r w:rsidR="00160D31" w:rsidRPr="00160D31">
        <w:t xml:space="preserve"> </w:t>
      </w:r>
    </w:p>
    <w:p w14:paraId="57C6E2A9" w14:textId="77777777" w:rsidR="00AF4887" w:rsidRPr="00AF4887" w:rsidRDefault="00AF4887" w:rsidP="008818E0">
      <w:pPr>
        <w:jc w:val="both"/>
      </w:pPr>
    </w:p>
    <w:p w14:paraId="28EB0B63" w14:textId="44BD5286" w:rsidR="00A55770" w:rsidRPr="00CD5A46" w:rsidRDefault="00A55770" w:rsidP="008818E0">
      <w:pPr>
        <w:pStyle w:val="Heading2"/>
        <w:numPr>
          <w:ilvl w:val="0"/>
          <w:numId w:val="0"/>
        </w:numPr>
        <w:spacing w:before="0" w:after="0"/>
        <w:ind w:left="360"/>
        <w:contextualSpacing/>
        <w:jc w:val="both"/>
      </w:pPr>
      <w:bookmarkStart w:id="219" w:name="_Toc375308160"/>
      <w:bookmarkStart w:id="220" w:name="_Toc375572562"/>
      <w:r w:rsidRPr="00CD5A46">
        <w:t xml:space="preserve">Meetings of the Steering Committee shall be open to </w:t>
      </w:r>
      <w:r w:rsidR="00191839">
        <w:t xml:space="preserve">the following </w:t>
      </w:r>
      <w:r w:rsidR="006C5B21" w:rsidRPr="001E38C6">
        <w:rPr>
          <w:highlight w:val="yellow"/>
        </w:rPr>
        <w:t>(</w:t>
      </w:r>
      <w:r w:rsidR="00191839" w:rsidRPr="001E38C6">
        <w:rPr>
          <w:highlight w:val="yellow"/>
        </w:rPr>
        <w:t>non-voting</w:t>
      </w:r>
      <w:r w:rsidR="006C5B21" w:rsidRPr="001E38C6">
        <w:rPr>
          <w:highlight w:val="yellow"/>
        </w:rPr>
        <w:t>)</w:t>
      </w:r>
      <w:r w:rsidR="00191839" w:rsidRPr="001E38C6">
        <w:rPr>
          <w:highlight w:val="yellow"/>
        </w:rPr>
        <w:t xml:space="preserve"> observers:</w:t>
      </w:r>
      <w:bookmarkEnd w:id="219"/>
      <w:bookmarkEnd w:id="220"/>
    </w:p>
    <w:p w14:paraId="5C20AA02" w14:textId="77777777" w:rsidR="00A55770" w:rsidRPr="00CD5A46" w:rsidRDefault="00231BEF" w:rsidP="008818E0">
      <w:pPr>
        <w:numPr>
          <w:ilvl w:val="0"/>
          <w:numId w:val="1"/>
        </w:numPr>
        <w:contextualSpacing/>
        <w:jc w:val="both"/>
      </w:pPr>
      <w:r w:rsidRPr="00CD5A46">
        <w:t>A</w:t>
      </w:r>
      <w:r w:rsidR="00A55770" w:rsidRPr="00CD5A46">
        <w:t xml:space="preserve">ny representatives of </w:t>
      </w:r>
      <w:r w:rsidR="001E38C6">
        <w:t xml:space="preserve">EU </w:t>
      </w:r>
      <w:r w:rsidR="00A55770" w:rsidRPr="00CD5A46">
        <w:t xml:space="preserve">Member States, as well as </w:t>
      </w:r>
      <w:r w:rsidR="004D24D5" w:rsidRPr="00CD5A46">
        <w:t>M</w:t>
      </w:r>
      <w:r w:rsidR="00A55770" w:rsidRPr="00CD5A46">
        <w:t xml:space="preserve">ember </w:t>
      </w:r>
      <w:r w:rsidR="004D24D5" w:rsidRPr="00CD5A46">
        <w:t>S</w:t>
      </w:r>
      <w:r w:rsidR="00A55770" w:rsidRPr="00CD5A46">
        <w:t>tates of the EEA or EFTA</w:t>
      </w:r>
      <w:r w:rsidR="00021CC4" w:rsidRPr="00CD5A46">
        <w:t>;</w:t>
      </w:r>
      <w:r w:rsidR="00A55770" w:rsidRPr="00CD5A46">
        <w:t xml:space="preserve"> and </w:t>
      </w:r>
    </w:p>
    <w:p w14:paraId="6C26EEC8" w14:textId="77777777" w:rsidR="00A55770" w:rsidRPr="00CD5A46" w:rsidRDefault="00231BEF" w:rsidP="008818E0">
      <w:pPr>
        <w:numPr>
          <w:ilvl w:val="0"/>
          <w:numId w:val="1"/>
        </w:numPr>
        <w:contextualSpacing/>
        <w:jc w:val="both"/>
      </w:pPr>
      <w:r w:rsidRPr="00CD5A46">
        <w:t>Organi</w:t>
      </w:r>
      <w:r w:rsidR="00B90244" w:rsidRPr="00CD5A46">
        <w:t>s</w:t>
      </w:r>
      <w:r w:rsidRPr="00CD5A46">
        <w:t>ations</w:t>
      </w:r>
      <w:r w:rsidR="00A55770" w:rsidRPr="00CD5A46">
        <w:t xml:space="preserve"> </w:t>
      </w:r>
      <w:r w:rsidR="003354A9" w:rsidRPr="00CD5A46">
        <w:t xml:space="preserve">that have </w:t>
      </w:r>
      <w:r w:rsidR="00A55770" w:rsidRPr="00CD5A46">
        <w:t>a permanent seat on the</w:t>
      </w:r>
      <w:r w:rsidR="002D1A92">
        <w:t xml:space="preserve"> </w:t>
      </w:r>
      <w:proofErr w:type="spellStart"/>
      <w:r w:rsidR="002D1A92">
        <w:t>Ecodesign</w:t>
      </w:r>
      <w:proofErr w:type="spellEnd"/>
      <w:r w:rsidR="00A55770" w:rsidRPr="00CD5A46">
        <w:t xml:space="preserve"> </w:t>
      </w:r>
      <w:r w:rsidR="00635B23" w:rsidRPr="00CD5A46">
        <w:t>C</w:t>
      </w:r>
      <w:r w:rsidR="00A55770" w:rsidRPr="00CD5A46">
        <w:t xml:space="preserve">onsultation </w:t>
      </w:r>
      <w:r w:rsidR="00635B23" w:rsidRPr="00CD5A46">
        <w:t>F</w:t>
      </w:r>
      <w:r w:rsidR="00A55770" w:rsidRPr="00CD5A46">
        <w:t>orum.</w:t>
      </w:r>
    </w:p>
    <w:p w14:paraId="2CA3699D" w14:textId="77777777" w:rsidR="00A55770" w:rsidRDefault="00A55770" w:rsidP="008818E0">
      <w:pPr>
        <w:ind w:left="567"/>
        <w:contextualSpacing/>
        <w:jc w:val="both"/>
      </w:pPr>
    </w:p>
    <w:p w14:paraId="0B993536" w14:textId="77777777" w:rsidR="00941515" w:rsidRDefault="002D1A92" w:rsidP="008818E0">
      <w:pPr>
        <w:ind w:left="426"/>
        <w:contextualSpacing/>
        <w:jc w:val="both"/>
      </w:pPr>
      <w:r w:rsidRPr="001E38C6">
        <w:rPr>
          <w:highlight w:val="yellow"/>
        </w:rPr>
        <w:t xml:space="preserve">The Chair, after consulting the Steering Committee, may invite one representative from an organisation </w:t>
      </w:r>
      <w:r w:rsidR="00191839" w:rsidRPr="001E38C6">
        <w:rPr>
          <w:highlight w:val="yellow"/>
        </w:rPr>
        <w:t>as an observer</w:t>
      </w:r>
      <w:r w:rsidRPr="001E38C6">
        <w:rPr>
          <w:highlight w:val="yellow"/>
        </w:rPr>
        <w:t xml:space="preserve">. Provided such organisations clearly state the interests they represent, they may participate in </w:t>
      </w:r>
      <w:r w:rsidR="00540BB1">
        <w:rPr>
          <w:highlight w:val="yellow"/>
        </w:rPr>
        <w:t>Steering Committee</w:t>
      </w:r>
      <w:r w:rsidRPr="001E38C6">
        <w:rPr>
          <w:highlight w:val="yellow"/>
        </w:rPr>
        <w:t xml:space="preserve"> meetings on a case-by-case basis.</w:t>
      </w:r>
      <w:r>
        <w:t xml:space="preserve"> </w:t>
      </w:r>
    </w:p>
    <w:p w14:paraId="48AD7797" w14:textId="77777777" w:rsidR="00941515" w:rsidRDefault="00941515" w:rsidP="008818E0">
      <w:pPr>
        <w:ind w:left="426"/>
        <w:contextualSpacing/>
        <w:jc w:val="both"/>
      </w:pPr>
    </w:p>
    <w:p w14:paraId="26C98D1A" w14:textId="77777777" w:rsidR="00941515" w:rsidRDefault="00160D31" w:rsidP="008818E0">
      <w:pPr>
        <w:ind w:left="426"/>
        <w:contextualSpacing/>
        <w:jc w:val="both"/>
        <w:rPr>
          <w:bCs/>
          <w:highlight w:val="yellow"/>
        </w:rPr>
      </w:pPr>
      <w:r w:rsidRPr="001E38C6">
        <w:rPr>
          <w:bCs/>
          <w:highlight w:val="yellow"/>
        </w:rPr>
        <w:t xml:space="preserve">The Chair must convene </w:t>
      </w:r>
      <w:proofErr w:type="gramStart"/>
      <w:r w:rsidRPr="001E38C6">
        <w:rPr>
          <w:bCs/>
          <w:highlight w:val="yellow"/>
        </w:rPr>
        <w:t>an</w:t>
      </w:r>
      <w:proofErr w:type="gramEnd"/>
      <w:r w:rsidRPr="001E38C6">
        <w:rPr>
          <w:bCs/>
          <w:highlight w:val="yellow"/>
        </w:rPr>
        <w:t xml:space="preserve"> </w:t>
      </w:r>
      <w:r w:rsidR="00540BB1">
        <w:rPr>
          <w:bCs/>
          <w:highlight w:val="yellow"/>
        </w:rPr>
        <w:t>Steering Committee</w:t>
      </w:r>
      <w:r w:rsidRPr="001E38C6">
        <w:rPr>
          <w:bCs/>
          <w:highlight w:val="yellow"/>
        </w:rPr>
        <w:t xml:space="preserve"> meeting whenever any of the conditions justifying the termination of the self-regulation measure mentioned hereafter occur. The meeting must be convened within thirty days of the receipt by the Chair of the information about the condition justifying the termination of the self-regulation measure.</w:t>
      </w:r>
    </w:p>
    <w:p w14:paraId="03F2419E" w14:textId="77777777" w:rsidR="00AF4887" w:rsidRDefault="00AF4887" w:rsidP="008818E0">
      <w:pPr>
        <w:ind w:left="426"/>
        <w:contextualSpacing/>
        <w:jc w:val="both"/>
        <w:rPr>
          <w:bCs/>
          <w:highlight w:val="yellow"/>
        </w:rPr>
      </w:pPr>
    </w:p>
    <w:p w14:paraId="04D63C69" w14:textId="77777777" w:rsidR="00941515" w:rsidRDefault="001E38C6" w:rsidP="008818E0">
      <w:pPr>
        <w:ind w:left="426"/>
        <w:contextualSpacing/>
        <w:jc w:val="both"/>
        <w:rPr>
          <w:bCs/>
          <w:highlight w:val="yellow"/>
        </w:rPr>
      </w:pPr>
      <w:r w:rsidRPr="001E38C6">
        <w:rPr>
          <w:bCs/>
          <w:highlight w:val="yellow"/>
        </w:rPr>
        <w:t xml:space="preserve">Any member of the </w:t>
      </w:r>
      <w:r w:rsidR="00540BB1">
        <w:rPr>
          <w:bCs/>
          <w:highlight w:val="yellow"/>
        </w:rPr>
        <w:t>Steering Committee</w:t>
      </w:r>
      <w:r w:rsidRPr="001E38C6">
        <w:rPr>
          <w:bCs/>
          <w:highlight w:val="yellow"/>
        </w:rPr>
        <w:t xml:space="preserve"> may request the Chair to convene a meeting of the </w:t>
      </w:r>
      <w:r w:rsidR="00540BB1">
        <w:rPr>
          <w:bCs/>
          <w:highlight w:val="yellow"/>
        </w:rPr>
        <w:t>Steering Committee</w:t>
      </w:r>
      <w:r w:rsidRPr="001E38C6">
        <w:rPr>
          <w:bCs/>
          <w:highlight w:val="yellow"/>
        </w:rPr>
        <w:t>.</w:t>
      </w:r>
    </w:p>
    <w:p w14:paraId="6848CADC" w14:textId="77777777" w:rsidR="00941515" w:rsidRDefault="00941515" w:rsidP="008818E0">
      <w:pPr>
        <w:ind w:left="426"/>
        <w:contextualSpacing/>
        <w:jc w:val="both"/>
        <w:rPr>
          <w:bCs/>
          <w:highlight w:val="yellow"/>
        </w:rPr>
      </w:pPr>
    </w:p>
    <w:p w14:paraId="5FB835CF" w14:textId="77777777" w:rsidR="00941515" w:rsidRDefault="00160D31" w:rsidP="008818E0">
      <w:pPr>
        <w:ind w:left="426"/>
        <w:contextualSpacing/>
        <w:jc w:val="both"/>
        <w:rPr>
          <w:bCs/>
          <w:highlight w:val="yellow"/>
        </w:rPr>
      </w:pPr>
      <w:r w:rsidRPr="001E38C6">
        <w:rPr>
          <w:bCs/>
          <w:highlight w:val="yellow"/>
        </w:rPr>
        <w:t xml:space="preserve">Invitations to the </w:t>
      </w:r>
      <w:r w:rsidR="00540BB1">
        <w:rPr>
          <w:bCs/>
          <w:highlight w:val="yellow"/>
        </w:rPr>
        <w:t>Steering Committee</w:t>
      </w:r>
      <w:r w:rsidRPr="001E38C6">
        <w:rPr>
          <w:bCs/>
          <w:highlight w:val="yellow"/>
        </w:rPr>
        <w:t xml:space="preserve"> meeting must be sent to all members of the </w:t>
      </w:r>
      <w:r w:rsidR="00540BB1">
        <w:rPr>
          <w:bCs/>
          <w:highlight w:val="yellow"/>
        </w:rPr>
        <w:t>Steering Committee</w:t>
      </w:r>
      <w:r w:rsidRPr="001E38C6">
        <w:rPr>
          <w:bCs/>
          <w:highlight w:val="yellow"/>
        </w:rPr>
        <w:t>, and must be posted on a website of the self-regulation measure not later than thirty days in advance of the meeting.</w:t>
      </w:r>
    </w:p>
    <w:p w14:paraId="33FC9634" w14:textId="77777777" w:rsidR="00941515" w:rsidRDefault="00941515" w:rsidP="008818E0">
      <w:pPr>
        <w:ind w:left="426"/>
        <w:contextualSpacing/>
        <w:jc w:val="both"/>
        <w:rPr>
          <w:bCs/>
          <w:highlight w:val="yellow"/>
        </w:rPr>
      </w:pPr>
    </w:p>
    <w:p w14:paraId="35C162D2" w14:textId="38F54248" w:rsidR="00160D31" w:rsidRDefault="00160D31" w:rsidP="008818E0">
      <w:pPr>
        <w:ind w:left="426"/>
        <w:contextualSpacing/>
        <w:jc w:val="both"/>
        <w:rPr>
          <w:bCs/>
        </w:rPr>
      </w:pPr>
      <w:r w:rsidRPr="001E38C6">
        <w:rPr>
          <w:bCs/>
          <w:highlight w:val="yellow"/>
        </w:rPr>
        <w:t xml:space="preserve">Documents to be presented and discussed at the </w:t>
      </w:r>
      <w:r w:rsidR="00540BB1">
        <w:rPr>
          <w:bCs/>
          <w:highlight w:val="yellow"/>
        </w:rPr>
        <w:t>Steering Committee</w:t>
      </w:r>
      <w:r w:rsidRPr="001E38C6">
        <w:rPr>
          <w:bCs/>
          <w:highlight w:val="yellow"/>
        </w:rPr>
        <w:t xml:space="preserve"> meeting must be sent to all members of the </w:t>
      </w:r>
      <w:r w:rsidR="00540BB1">
        <w:rPr>
          <w:bCs/>
          <w:highlight w:val="yellow"/>
        </w:rPr>
        <w:t>Steering Committee</w:t>
      </w:r>
      <w:r w:rsidRPr="001E38C6">
        <w:rPr>
          <w:bCs/>
          <w:highlight w:val="yellow"/>
        </w:rPr>
        <w:t>, and must be posted online no later than 7 working days in advance of the meeting.</w:t>
      </w:r>
    </w:p>
    <w:p w14:paraId="7FCC042A" w14:textId="77777777" w:rsidR="00AF4887" w:rsidRDefault="00AF4887" w:rsidP="008818E0">
      <w:pPr>
        <w:ind w:left="426"/>
        <w:contextualSpacing/>
        <w:jc w:val="both"/>
        <w:rPr>
          <w:bCs/>
        </w:rPr>
      </w:pPr>
    </w:p>
    <w:p w14:paraId="50C8C12F" w14:textId="77777777" w:rsidR="00AF4887" w:rsidRPr="005E4C8F" w:rsidRDefault="00AF4887" w:rsidP="008818E0">
      <w:pPr>
        <w:ind w:left="426"/>
        <w:contextualSpacing/>
        <w:jc w:val="both"/>
        <w:rPr>
          <w:bCs/>
        </w:rPr>
      </w:pPr>
    </w:p>
    <w:p w14:paraId="25624CDA" w14:textId="77777777" w:rsidR="006D5316" w:rsidRDefault="006D5316" w:rsidP="008818E0">
      <w:pPr>
        <w:pStyle w:val="Heading1"/>
        <w:spacing w:before="0" w:after="0"/>
        <w:contextualSpacing/>
        <w:jc w:val="both"/>
      </w:pPr>
      <w:bookmarkStart w:id="221" w:name="_Toc375572563"/>
      <w:r>
        <w:t>Voting rules</w:t>
      </w:r>
      <w:bookmarkEnd w:id="221"/>
    </w:p>
    <w:p w14:paraId="40A80091" w14:textId="77777777" w:rsidR="00AF4887" w:rsidRPr="00AF4887" w:rsidRDefault="00AF4887" w:rsidP="008818E0">
      <w:pPr>
        <w:jc w:val="both"/>
      </w:pPr>
    </w:p>
    <w:p w14:paraId="5C4EAB90" w14:textId="77777777" w:rsidR="00A55770" w:rsidRPr="0028522C" w:rsidRDefault="00A55770" w:rsidP="008818E0">
      <w:pPr>
        <w:pStyle w:val="Heading1"/>
        <w:numPr>
          <w:ilvl w:val="0"/>
          <w:numId w:val="0"/>
        </w:numPr>
        <w:spacing w:before="0" w:after="0"/>
        <w:ind w:left="426"/>
        <w:contextualSpacing/>
        <w:jc w:val="both"/>
        <w:rPr>
          <w:b w:val="0"/>
          <w:sz w:val="20"/>
          <w:szCs w:val="20"/>
        </w:rPr>
      </w:pPr>
      <w:bookmarkStart w:id="222" w:name="_Toc369266442"/>
      <w:bookmarkStart w:id="223" w:name="_Toc375308162"/>
      <w:bookmarkStart w:id="224" w:name="_Toc375572564"/>
      <w:r w:rsidRPr="0028522C">
        <w:rPr>
          <w:b w:val="0"/>
          <w:sz w:val="20"/>
          <w:szCs w:val="20"/>
        </w:rPr>
        <w:t xml:space="preserve">The Steering Committee will seek to achieve agreement by consensus at all times. If consensus cannot be achieved, the Steering Committee may reach a decision in accordance with the </w:t>
      </w:r>
      <w:r w:rsidR="0096683F" w:rsidRPr="0028522C">
        <w:rPr>
          <w:b w:val="0"/>
          <w:sz w:val="20"/>
          <w:szCs w:val="20"/>
        </w:rPr>
        <w:t>v</w:t>
      </w:r>
      <w:r w:rsidRPr="0028522C">
        <w:rPr>
          <w:b w:val="0"/>
          <w:sz w:val="20"/>
          <w:szCs w:val="20"/>
        </w:rPr>
        <w:t xml:space="preserve">oting </w:t>
      </w:r>
      <w:r w:rsidR="0096683F" w:rsidRPr="0028522C">
        <w:rPr>
          <w:b w:val="0"/>
          <w:sz w:val="20"/>
          <w:szCs w:val="20"/>
        </w:rPr>
        <w:t>p</w:t>
      </w:r>
      <w:r w:rsidRPr="0028522C">
        <w:rPr>
          <w:b w:val="0"/>
          <w:sz w:val="20"/>
          <w:szCs w:val="20"/>
        </w:rPr>
        <w:t>rocedures</w:t>
      </w:r>
      <w:r w:rsidR="0096683F" w:rsidRPr="0028522C">
        <w:rPr>
          <w:b w:val="0"/>
          <w:sz w:val="20"/>
          <w:szCs w:val="20"/>
        </w:rPr>
        <w:t xml:space="preserve"> described </w:t>
      </w:r>
      <w:r w:rsidR="001E38C6" w:rsidRPr="001E38C6">
        <w:rPr>
          <w:b w:val="0"/>
          <w:sz w:val="20"/>
          <w:szCs w:val="20"/>
          <w:highlight w:val="yellow"/>
        </w:rPr>
        <w:t>below</w:t>
      </w:r>
      <w:r w:rsidRPr="0028522C">
        <w:rPr>
          <w:b w:val="0"/>
          <w:sz w:val="20"/>
          <w:szCs w:val="20"/>
        </w:rPr>
        <w:t>.</w:t>
      </w:r>
      <w:r w:rsidR="005D2069" w:rsidRPr="0028522C" w:rsidDel="005D2069">
        <w:rPr>
          <w:b w:val="0"/>
          <w:sz w:val="20"/>
          <w:szCs w:val="20"/>
        </w:rPr>
        <w:t xml:space="preserve"> </w:t>
      </w:r>
      <w:r w:rsidRPr="0028522C">
        <w:rPr>
          <w:b w:val="0"/>
          <w:sz w:val="20"/>
          <w:szCs w:val="20"/>
        </w:rPr>
        <w:t>The Steering Committee may decide to develop and adopt further rules of procedure where it deems it necessary and may decide to delegate powers where it deems it to be necessary to specific individuals or to sub-committees.</w:t>
      </w:r>
      <w:bookmarkEnd w:id="222"/>
      <w:bookmarkEnd w:id="223"/>
      <w:bookmarkEnd w:id="224"/>
      <w:r w:rsidRPr="0028522C">
        <w:rPr>
          <w:b w:val="0"/>
          <w:sz w:val="20"/>
          <w:szCs w:val="20"/>
        </w:rPr>
        <w:t xml:space="preserve"> </w:t>
      </w:r>
    </w:p>
    <w:p w14:paraId="51188D00" w14:textId="77777777" w:rsidR="0045536C" w:rsidRPr="00CD5A46" w:rsidRDefault="0045536C" w:rsidP="008818E0">
      <w:pPr>
        <w:ind w:left="426"/>
        <w:contextualSpacing/>
        <w:jc w:val="both"/>
      </w:pPr>
    </w:p>
    <w:p w14:paraId="35E62319" w14:textId="77777777" w:rsidR="00A55770" w:rsidRPr="00CD5A46" w:rsidRDefault="00A55770" w:rsidP="008818E0">
      <w:pPr>
        <w:ind w:left="426"/>
        <w:contextualSpacing/>
        <w:jc w:val="both"/>
      </w:pPr>
      <w:r w:rsidRPr="00CD5A46">
        <w:t xml:space="preserve">All reasonable efforts shall be taken to ensure that the decisions of the Steering Committee are taken on the basis of a consensus. </w:t>
      </w:r>
    </w:p>
    <w:p w14:paraId="58DD57B6" w14:textId="77777777" w:rsidR="00A55770" w:rsidRPr="00CD5A46" w:rsidRDefault="00A55770" w:rsidP="008818E0">
      <w:pPr>
        <w:ind w:left="426"/>
        <w:contextualSpacing/>
        <w:jc w:val="both"/>
      </w:pPr>
    </w:p>
    <w:p w14:paraId="3E7AD4F5" w14:textId="77777777" w:rsidR="00A55770" w:rsidRPr="00CD5A46" w:rsidRDefault="00A55770" w:rsidP="008818E0">
      <w:pPr>
        <w:ind w:left="426"/>
        <w:contextualSpacing/>
        <w:jc w:val="both"/>
      </w:pPr>
      <w:r w:rsidRPr="00CD5A46">
        <w:lastRenderedPageBreak/>
        <w:t>However, where consensus on an issue cannot be achieved in the course of a meeting of the Steering Committee, a call for an indicative vote may be made by the Steering Committee Chair or by a Quorum.</w:t>
      </w:r>
    </w:p>
    <w:p w14:paraId="09488DCE" w14:textId="77777777" w:rsidR="00A55770" w:rsidRPr="00CD5A46" w:rsidRDefault="00A55770" w:rsidP="008818E0">
      <w:pPr>
        <w:ind w:left="426"/>
        <w:contextualSpacing/>
        <w:jc w:val="both"/>
      </w:pPr>
    </w:p>
    <w:p w14:paraId="3F74C04C" w14:textId="77777777" w:rsidR="00A55770" w:rsidRPr="00CD5A46" w:rsidRDefault="00A55770" w:rsidP="008818E0">
      <w:pPr>
        <w:ind w:left="426"/>
        <w:contextualSpacing/>
        <w:jc w:val="both"/>
      </w:pPr>
      <w:r w:rsidRPr="00CD5A46">
        <w:t xml:space="preserve">During any voting procedure of the Steering Committee </w:t>
      </w:r>
      <w:r w:rsidR="00826972" w:rsidRPr="00CD5A46">
        <w:t>each</w:t>
      </w:r>
      <w:r w:rsidRPr="00CD5A46">
        <w:t xml:space="preserve"> Signator</w:t>
      </w:r>
      <w:r w:rsidR="00826972" w:rsidRPr="00CD5A46">
        <w:t>y</w:t>
      </w:r>
      <w:r w:rsidRPr="00CD5A46">
        <w:t xml:space="preserve"> shall be entitled to cast a single vote.</w:t>
      </w:r>
      <w:r w:rsidR="001C4947">
        <w:t xml:space="preserve"> </w:t>
      </w:r>
      <w:r w:rsidR="001C4947" w:rsidRPr="001E38C6">
        <w:rPr>
          <w:highlight w:val="yellow"/>
        </w:rPr>
        <w:t xml:space="preserve">Only VA Signatories (EuroVAprint members or otherwise) </w:t>
      </w:r>
      <w:r w:rsidR="00191839" w:rsidRPr="001E38C6">
        <w:rPr>
          <w:highlight w:val="yellow"/>
        </w:rPr>
        <w:t>and the E</w:t>
      </w:r>
      <w:r w:rsidR="006D6887">
        <w:rPr>
          <w:highlight w:val="yellow"/>
        </w:rPr>
        <w:t>uropean</w:t>
      </w:r>
      <w:r w:rsidR="00191839" w:rsidRPr="001E38C6">
        <w:rPr>
          <w:highlight w:val="yellow"/>
        </w:rPr>
        <w:t xml:space="preserve"> Commission </w:t>
      </w:r>
      <w:r w:rsidR="001C4947" w:rsidRPr="001E38C6">
        <w:rPr>
          <w:highlight w:val="yellow"/>
        </w:rPr>
        <w:t>enjoy full voting rights.</w:t>
      </w:r>
      <w:r w:rsidR="001C4947">
        <w:t xml:space="preserve"> </w:t>
      </w:r>
    </w:p>
    <w:p w14:paraId="7D0200BE" w14:textId="77777777" w:rsidR="00A55770" w:rsidRPr="00CD5A46" w:rsidRDefault="00A55770" w:rsidP="008818E0">
      <w:pPr>
        <w:ind w:left="426"/>
        <w:contextualSpacing/>
        <w:jc w:val="both"/>
      </w:pPr>
    </w:p>
    <w:p w14:paraId="50E370C2" w14:textId="0405BA5B" w:rsidR="00A55770" w:rsidRPr="00CD5A46" w:rsidRDefault="00A55770" w:rsidP="008818E0">
      <w:pPr>
        <w:ind w:left="426"/>
        <w:contextualSpacing/>
        <w:jc w:val="both"/>
      </w:pPr>
      <w:r w:rsidRPr="00CD5A46">
        <w:t xml:space="preserve">If the indicative vote indicates a favourable outcome (two-thirds </w:t>
      </w:r>
      <w:r w:rsidR="00B444B7">
        <w:t xml:space="preserve">of those present/represented and voting </w:t>
      </w:r>
      <w:r w:rsidR="00826972" w:rsidRPr="00CD5A46">
        <w:t xml:space="preserve"> or greater in favour</w:t>
      </w:r>
      <w:r w:rsidRPr="00CD5A46">
        <w:t xml:space="preserve">) but a consensus is nonetheless not achieved, a call for a deciding vote may be made by a Quorum to be held at the following meeting of the Steering Committee. At such second meeting, the adoption of a decision shall be made in accordance with the Voting </w:t>
      </w:r>
      <w:r w:rsidR="00826972" w:rsidRPr="00CD5A46">
        <w:t>Rules</w:t>
      </w:r>
      <w:r w:rsidRPr="00CD5A46">
        <w:t>. At such second meeting, the adoption of a decision shall require:</w:t>
      </w:r>
    </w:p>
    <w:p w14:paraId="4069A682" w14:textId="77777777" w:rsidR="00A55770" w:rsidRPr="00CD5A46" w:rsidRDefault="00231BEF" w:rsidP="008818E0">
      <w:pPr>
        <w:numPr>
          <w:ilvl w:val="0"/>
          <w:numId w:val="4"/>
        </w:numPr>
        <w:ind w:left="426" w:firstLine="0"/>
        <w:contextualSpacing/>
        <w:jc w:val="both"/>
      </w:pPr>
      <w:r w:rsidRPr="00CD5A46">
        <w:t xml:space="preserve">A </w:t>
      </w:r>
      <w:r w:rsidR="00A55770" w:rsidRPr="00CD5A46">
        <w:t xml:space="preserve">Quorum </w:t>
      </w:r>
    </w:p>
    <w:p w14:paraId="30258F83" w14:textId="3806D0A1" w:rsidR="00A55770" w:rsidRPr="00CD5A46" w:rsidRDefault="00231BEF" w:rsidP="008818E0">
      <w:pPr>
        <w:numPr>
          <w:ilvl w:val="0"/>
          <w:numId w:val="4"/>
        </w:numPr>
        <w:ind w:left="426" w:firstLine="0"/>
        <w:contextualSpacing/>
        <w:jc w:val="both"/>
      </w:pPr>
      <w:r w:rsidRPr="00CD5A46">
        <w:t>The</w:t>
      </w:r>
      <w:r w:rsidR="00A55770" w:rsidRPr="00CD5A46">
        <w:t xml:space="preserve"> agreement of a </w:t>
      </w:r>
      <w:r w:rsidR="007456D0" w:rsidRPr="00CD5A46">
        <w:t>two-thirds</w:t>
      </w:r>
      <w:r w:rsidR="00A55770" w:rsidRPr="00CD5A46">
        <w:t xml:space="preserve"> </w:t>
      </w:r>
      <w:r w:rsidR="00B444B7">
        <w:t xml:space="preserve">(of those present and voting) </w:t>
      </w:r>
      <w:r w:rsidRPr="00CD5A46">
        <w:t>majority of</w:t>
      </w:r>
      <w:r w:rsidR="00A55770" w:rsidRPr="00CD5A46">
        <w:t xml:space="preserve"> the Quorum.</w:t>
      </w:r>
    </w:p>
    <w:p w14:paraId="2BFF569A" w14:textId="77777777" w:rsidR="006150FE" w:rsidRDefault="006150FE" w:rsidP="008818E0">
      <w:pPr>
        <w:contextualSpacing/>
        <w:jc w:val="both"/>
      </w:pPr>
    </w:p>
    <w:p w14:paraId="082A8203" w14:textId="77777777" w:rsidR="00AF4887" w:rsidRPr="00CD5A46" w:rsidRDefault="00AF4887" w:rsidP="008818E0">
      <w:pPr>
        <w:contextualSpacing/>
        <w:jc w:val="both"/>
      </w:pPr>
    </w:p>
    <w:p w14:paraId="7DAA2CC1" w14:textId="77777777" w:rsidR="00365B4C" w:rsidRDefault="00365B4C" w:rsidP="008818E0">
      <w:pPr>
        <w:pStyle w:val="Heading1"/>
        <w:spacing w:before="0" w:after="0"/>
        <w:contextualSpacing/>
        <w:jc w:val="both"/>
      </w:pPr>
      <w:bookmarkStart w:id="225" w:name="_Toc246146854"/>
      <w:bookmarkStart w:id="226" w:name="_Ref254011664"/>
      <w:bookmarkStart w:id="227" w:name="_Toc375572565"/>
      <w:r w:rsidRPr="00CD5A46">
        <w:t>Non Compliance</w:t>
      </w:r>
      <w:bookmarkEnd w:id="225"/>
      <w:bookmarkEnd w:id="226"/>
      <w:bookmarkEnd w:id="227"/>
      <w:r w:rsidRPr="00CD5A46">
        <w:t xml:space="preserve"> </w:t>
      </w:r>
    </w:p>
    <w:p w14:paraId="61CA5D91" w14:textId="77777777" w:rsidR="00AF4887" w:rsidRPr="00AF4887" w:rsidRDefault="00AF4887" w:rsidP="008818E0">
      <w:pPr>
        <w:jc w:val="both"/>
      </w:pPr>
    </w:p>
    <w:p w14:paraId="0483EE04" w14:textId="325911E4" w:rsidR="008A3113" w:rsidRPr="00214174" w:rsidRDefault="0099539F" w:rsidP="008818E0">
      <w:pPr>
        <w:autoSpaceDE w:val="0"/>
        <w:autoSpaceDN w:val="0"/>
        <w:adjustRightInd w:val="0"/>
        <w:ind w:left="426"/>
        <w:contextualSpacing/>
        <w:jc w:val="both"/>
        <w:rPr>
          <w:rFonts w:ascii="Cambria" w:hAnsi="Cambria" w:cs="Times New Roman"/>
          <w:sz w:val="24"/>
          <w:szCs w:val="24"/>
          <w:highlight w:val="yellow"/>
        </w:rPr>
      </w:pPr>
      <w:r w:rsidRPr="00214174">
        <w:rPr>
          <w:rStyle w:val="futurabook"/>
          <w:highlight w:val="yellow"/>
        </w:rPr>
        <w:t xml:space="preserve">In case a </w:t>
      </w:r>
      <w:r w:rsidR="0096683F" w:rsidRPr="00214174">
        <w:rPr>
          <w:rStyle w:val="futurabook"/>
          <w:highlight w:val="yellow"/>
        </w:rPr>
        <w:t>S</w:t>
      </w:r>
      <w:r w:rsidR="00FA3A26" w:rsidRPr="00214174">
        <w:rPr>
          <w:rStyle w:val="futurabook"/>
          <w:highlight w:val="yellow"/>
        </w:rPr>
        <w:t xml:space="preserve">ignatory </w:t>
      </w:r>
      <w:r w:rsidRPr="00214174">
        <w:rPr>
          <w:rStyle w:val="futurabook"/>
          <w:highlight w:val="yellow"/>
        </w:rPr>
        <w:t xml:space="preserve">fails to meet </w:t>
      </w:r>
      <w:r w:rsidR="00582CCD">
        <w:rPr>
          <w:rStyle w:val="futurabook"/>
          <w:highlight w:val="yellow"/>
        </w:rPr>
        <w:t xml:space="preserve">its </w:t>
      </w:r>
      <w:r w:rsidR="001F7E9E">
        <w:rPr>
          <w:rStyle w:val="futurabook"/>
          <w:highlight w:val="yellow"/>
        </w:rPr>
        <w:t>commitments</w:t>
      </w:r>
      <w:r w:rsidR="0003022C" w:rsidRPr="00214174">
        <w:rPr>
          <w:rStyle w:val="futurabook"/>
          <w:highlight w:val="yellow"/>
        </w:rPr>
        <w:t xml:space="preserve"> under Sections 4</w:t>
      </w:r>
      <w:r w:rsidR="00191839" w:rsidRPr="00214174">
        <w:rPr>
          <w:rStyle w:val="futurabook"/>
          <w:highlight w:val="yellow"/>
        </w:rPr>
        <w:t>,</w:t>
      </w:r>
      <w:r w:rsidR="0003022C" w:rsidRPr="00214174">
        <w:rPr>
          <w:rStyle w:val="futurabook"/>
          <w:highlight w:val="yellow"/>
        </w:rPr>
        <w:t xml:space="preserve"> 5</w:t>
      </w:r>
      <w:r w:rsidR="000366F3" w:rsidRPr="00214174">
        <w:rPr>
          <w:rStyle w:val="futurabook"/>
          <w:highlight w:val="yellow"/>
        </w:rPr>
        <w:t xml:space="preserve">, </w:t>
      </w:r>
      <w:r w:rsidR="00B75B87" w:rsidRPr="00214174">
        <w:rPr>
          <w:rStyle w:val="futurabook"/>
          <w:highlight w:val="yellow"/>
        </w:rPr>
        <w:t xml:space="preserve">or </w:t>
      </w:r>
      <w:r w:rsidR="00191839" w:rsidRPr="00214174">
        <w:rPr>
          <w:rStyle w:val="futurabook"/>
          <w:highlight w:val="yellow"/>
        </w:rPr>
        <w:t>6</w:t>
      </w:r>
      <w:r w:rsidR="0003022C" w:rsidRPr="00214174">
        <w:rPr>
          <w:rStyle w:val="futurabook"/>
          <w:highlight w:val="yellow"/>
        </w:rPr>
        <w:t xml:space="preserve"> of the present VA</w:t>
      </w:r>
      <w:r w:rsidR="006D6887" w:rsidRPr="00214174">
        <w:rPr>
          <w:rStyle w:val="futurabook"/>
          <w:highlight w:val="yellow"/>
        </w:rPr>
        <w:t>, the</w:t>
      </w:r>
      <w:r w:rsidR="000366F3" w:rsidRPr="00214174">
        <w:rPr>
          <w:highlight w:val="yellow"/>
        </w:rPr>
        <w:t xml:space="preserve"> Signatory </w:t>
      </w:r>
      <w:r w:rsidR="003F78DC">
        <w:rPr>
          <w:highlight w:val="yellow"/>
        </w:rPr>
        <w:t>should</w:t>
      </w:r>
      <w:r w:rsidR="000366F3" w:rsidRPr="00214174">
        <w:rPr>
          <w:highlight w:val="yellow"/>
        </w:rPr>
        <w:t xml:space="preserve"> be subject to an audit in the year following the default.</w:t>
      </w:r>
      <w:r w:rsidR="003F78DC">
        <w:rPr>
          <w:highlight w:val="yellow"/>
        </w:rPr>
        <w:t xml:space="preserve"> </w:t>
      </w:r>
    </w:p>
    <w:p w14:paraId="544EB358" w14:textId="77777777" w:rsidR="001E38C6" w:rsidRPr="00214174" w:rsidRDefault="001E38C6" w:rsidP="008818E0">
      <w:pPr>
        <w:autoSpaceDE w:val="0"/>
        <w:autoSpaceDN w:val="0"/>
        <w:adjustRightInd w:val="0"/>
        <w:ind w:left="426"/>
        <w:contextualSpacing/>
        <w:jc w:val="both"/>
        <w:rPr>
          <w:highlight w:val="yellow"/>
        </w:rPr>
      </w:pPr>
    </w:p>
    <w:p w14:paraId="6A431108" w14:textId="77777777" w:rsidR="008A3113" w:rsidRPr="00214174" w:rsidRDefault="008A3113" w:rsidP="008818E0">
      <w:pPr>
        <w:autoSpaceDE w:val="0"/>
        <w:autoSpaceDN w:val="0"/>
        <w:adjustRightInd w:val="0"/>
        <w:ind w:left="426"/>
        <w:contextualSpacing/>
        <w:jc w:val="both"/>
        <w:rPr>
          <w:highlight w:val="yellow"/>
        </w:rPr>
      </w:pPr>
      <w:r w:rsidRPr="00214174">
        <w:rPr>
          <w:highlight w:val="yellow"/>
        </w:rPr>
        <w:t>If this audit finds that the Signatory is still not in compliance, it will be considered to have withdrawn from the VA.</w:t>
      </w:r>
    </w:p>
    <w:p w14:paraId="29F1467C" w14:textId="77777777" w:rsidR="001E38C6" w:rsidRPr="00214174" w:rsidRDefault="001E38C6" w:rsidP="008818E0">
      <w:pPr>
        <w:autoSpaceDE w:val="0"/>
        <w:autoSpaceDN w:val="0"/>
        <w:adjustRightInd w:val="0"/>
        <w:ind w:left="426"/>
        <w:contextualSpacing/>
        <w:jc w:val="both"/>
        <w:rPr>
          <w:highlight w:val="yellow"/>
        </w:rPr>
      </w:pPr>
    </w:p>
    <w:p w14:paraId="2829D013" w14:textId="46409D7F" w:rsidR="00B75B87" w:rsidRPr="00214174" w:rsidRDefault="00B75B87" w:rsidP="008818E0">
      <w:pPr>
        <w:autoSpaceDE w:val="0"/>
        <w:autoSpaceDN w:val="0"/>
        <w:adjustRightInd w:val="0"/>
        <w:ind w:left="426"/>
        <w:contextualSpacing/>
        <w:jc w:val="both"/>
        <w:rPr>
          <w:rFonts w:ascii="Cambria" w:hAnsi="Cambria" w:cs="Times New Roman"/>
          <w:sz w:val="24"/>
          <w:szCs w:val="24"/>
          <w:highlight w:val="yellow"/>
        </w:rPr>
      </w:pPr>
      <w:r w:rsidRPr="00214174">
        <w:rPr>
          <w:highlight w:val="yellow"/>
        </w:rPr>
        <w:t xml:space="preserve">In case of non-compliance with the deadlines in Section 7, the Signatory will have 1 month to correct the situation. Should this </w:t>
      </w:r>
      <w:r w:rsidR="00540BB1">
        <w:rPr>
          <w:highlight w:val="yellow"/>
        </w:rPr>
        <w:t>Signatory</w:t>
      </w:r>
      <w:r w:rsidRPr="00214174">
        <w:rPr>
          <w:highlight w:val="yellow"/>
        </w:rPr>
        <w:t xml:space="preserve"> fail to comply with this deadline, or fails to meet its obligations for a second year in a row, it shall be considered to have withdrawn from the VA.</w:t>
      </w:r>
    </w:p>
    <w:p w14:paraId="67203840" w14:textId="564FF47D" w:rsidR="00EA0EC6" w:rsidRPr="00214174" w:rsidRDefault="00EA0EC6" w:rsidP="008818E0">
      <w:pPr>
        <w:autoSpaceDE w:val="0"/>
        <w:autoSpaceDN w:val="0"/>
        <w:adjustRightInd w:val="0"/>
        <w:ind w:left="426"/>
        <w:contextualSpacing/>
        <w:jc w:val="both"/>
        <w:rPr>
          <w:highlight w:val="yellow"/>
        </w:rPr>
      </w:pPr>
    </w:p>
    <w:p w14:paraId="5A1AD6CD" w14:textId="77777777" w:rsidR="0057356F" w:rsidRDefault="0057356F" w:rsidP="008818E0">
      <w:pPr>
        <w:autoSpaceDE w:val="0"/>
        <w:autoSpaceDN w:val="0"/>
        <w:adjustRightInd w:val="0"/>
        <w:ind w:left="426"/>
        <w:contextualSpacing/>
        <w:jc w:val="both"/>
      </w:pPr>
      <w:r w:rsidRPr="00214174">
        <w:rPr>
          <w:highlight w:val="yellow"/>
        </w:rPr>
        <w:t>The defaulting company may reapply for membership of the Voluntary Agreement.</w:t>
      </w:r>
    </w:p>
    <w:p w14:paraId="2B747186" w14:textId="2D33E019" w:rsidR="00AF4887" w:rsidRDefault="00AF4887" w:rsidP="008818E0">
      <w:pPr>
        <w:jc w:val="both"/>
        <w:rPr>
          <w:highlight w:val="yellow"/>
        </w:rPr>
      </w:pPr>
      <w:r>
        <w:rPr>
          <w:highlight w:val="yellow"/>
        </w:rPr>
        <w:br w:type="page"/>
      </w:r>
    </w:p>
    <w:p w14:paraId="0A74B001" w14:textId="712D6BB0" w:rsidR="00EB7C60" w:rsidRDefault="006864E2" w:rsidP="008818E0">
      <w:pPr>
        <w:pStyle w:val="Heading1"/>
        <w:spacing w:before="0" w:after="0"/>
        <w:contextualSpacing/>
        <w:jc w:val="both"/>
      </w:pPr>
      <w:bookmarkStart w:id="228" w:name="_Ref230144937"/>
      <w:bookmarkStart w:id="229" w:name="_Toc375572566"/>
      <w:r w:rsidRPr="00CD5A46">
        <w:lastRenderedPageBreak/>
        <w:t xml:space="preserve">Revision of the </w:t>
      </w:r>
      <w:bookmarkEnd w:id="228"/>
      <w:r w:rsidR="00D5774A" w:rsidRPr="00CD5A46">
        <w:t>Voluntary Agreement</w:t>
      </w:r>
      <w:bookmarkEnd w:id="229"/>
      <w:r w:rsidR="00D5774A" w:rsidRPr="00CD5A46">
        <w:t xml:space="preserve"> </w:t>
      </w:r>
    </w:p>
    <w:p w14:paraId="768931BA" w14:textId="77777777" w:rsidR="00941515" w:rsidRPr="00941515" w:rsidRDefault="00941515" w:rsidP="008818E0">
      <w:pPr>
        <w:contextualSpacing/>
        <w:jc w:val="both"/>
      </w:pPr>
    </w:p>
    <w:p w14:paraId="3990D72D" w14:textId="77777777" w:rsidR="0045536C" w:rsidRDefault="00EB7C60" w:rsidP="008818E0">
      <w:pPr>
        <w:ind w:left="360"/>
        <w:contextualSpacing/>
        <w:jc w:val="both"/>
      </w:pPr>
      <w:r w:rsidRPr="001E38C6">
        <w:rPr>
          <w:highlight w:val="yellow"/>
        </w:rPr>
        <w:t xml:space="preserve">Signatories will initiate the revision of the Voluntary Agreement and its commitments three months after the publication </w:t>
      </w:r>
      <w:r w:rsidR="00325202" w:rsidRPr="001E38C6">
        <w:rPr>
          <w:highlight w:val="yellow"/>
        </w:rPr>
        <w:t xml:space="preserve">by the U.S EPA </w:t>
      </w:r>
      <w:r w:rsidRPr="001E38C6">
        <w:rPr>
          <w:highlight w:val="yellow"/>
        </w:rPr>
        <w:t>of new ENERGY STAR® specifications for Imaging Equipment.</w:t>
      </w:r>
    </w:p>
    <w:p w14:paraId="4CE5D551" w14:textId="77777777" w:rsidR="00AF4887" w:rsidRDefault="00AF4887" w:rsidP="008818E0">
      <w:pPr>
        <w:ind w:left="360"/>
        <w:contextualSpacing/>
        <w:jc w:val="both"/>
      </w:pPr>
    </w:p>
    <w:p w14:paraId="64E56238" w14:textId="77777777" w:rsidR="00513102" w:rsidRPr="00CD5A46" w:rsidRDefault="00513102" w:rsidP="008818E0">
      <w:pPr>
        <w:contextualSpacing/>
        <w:jc w:val="both"/>
      </w:pPr>
    </w:p>
    <w:p w14:paraId="4EF5E8E4" w14:textId="77777777" w:rsidR="00587E72" w:rsidRDefault="00587E72" w:rsidP="008818E0">
      <w:pPr>
        <w:pStyle w:val="Heading1"/>
        <w:spacing w:before="0" w:after="0"/>
        <w:contextualSpacing/>
        <w:jc w:val="both"/>
        <w:rPr>
          <w:highlight w:val="yellow"/>
        </w:rPr>
      </w:pPr>
      <w:bookmarkStart w:id="230" w:name="_Toc375572567"/>
      <w:r w:rsidRPr="001E38C6">
        <w:rPr>
          <w:highlight w:val="yellow"/>
        </w:rPr>
        <w:t>Withdrawal from the Agreement</w:t>
      </w:r>
      <w:bookmarkEnd w:id="230"/>
    </w:p>
    <w:p w14:paraId="283562FD" w14:textId="77777777" w:rsidR="00AF4887" w:rsidRPr="00AF4887" w:rsidRDefault="00AF4887" w:rsidP="008818E0">
      <w:pPr>
        <w:jc w:val="both"/>
        <w:rPr>
          <w:highlight w:val="yellow"/>
        </w:rPr>
      </w:pPr>
    </w:p>
    <w:p w14:paraId="1ADD3A66" w14:textId="77777777" w:rsidR="00812654" w:rsidRDefault="00812654" w:rsidP="008818E0">
      <w:pPr>
        <w:pStyle w:val="Heading1"/>
        <w:numPr>
          <w:ilvl w:val="0"/>
          <w:numId w:val="0"/>
        </w:numPr>
        <w:spacing w:before="0" w:after="0"/>
        <w:ind w:left="360"/>
        <w:contextualSpacing/>
        <w:jc w:val="both"/>
        <w:rPr>
          <w:b w:val="0"/>
          <w:sz w:val="20"/>
          <w:szCs w:val="20"/>
        </w:rPr>
      </w:pPr>
      <w:bookmarkStart w:id="231" w:name="_Toc369266446"/>
      <w:bookmarkStart w:id="232" w:name="_Toc375308166"/>
      <w:bookmarkStart w:id="233" w:name="_Toc375572568"/>
      <w:r w:rsidRPr="00AD7B39">
        <w:rPr>
          <w:b w:val="0"/>
          <w:sz w:val="20"/>
          <w:szCs w:val="20"/>
          <w:highlight w:val="yellow"/>
        </w:rPr>
        <w:t>Signatories can terminate their individual participation in the Voluntary Agreement by sending a registered letter to the Chair of the Steering Committee and the secretariat of EuroVAprint, who shall inform the Steering Committee.</w:t>
      </w:r>
      <w:bookmarkEnd w:id="231"/>
      <w:bookmarkEnd w:id="232"/>
      <w:bookmarkEnd w:id="233"/>
      <w:r w:rsidRPr="00AD7B39">
        <w:rPr>
          <w:b w:val="0"/>
          <w:sz w:val="20"/>
          <w:szCs w:val="20"/>
        </w:rPr>
        <w:t xml:space="preserve"> </w:t>
      </w:r>
    </w:p>
    <w:p w14:paraId="2323403B" w14:textId="77777777" w:rsidR="00AF4887" w:rsidRDefault="00AF4887" w:rsidP="008818E0">
      <w:pPr>
        <w:jc w:val="both"/>
      </w:pPr>
    </w:p>
    <w:p w14:paraId="1A63D361" w14:textId="77777777" w:rsidR="00AF4887" w:rsidRPr="00AF4887" w:rsidRDefault="00AF4887" w:rsidP="008818E0">
      <w:pPr>
        <w:jc w:val="both"/>
      </w:pPr>
    </w:p>
    <w:p w14:paraId="4C80515B" w14:textId="77777777" w:rsidR="006864E2" w:rsidRPr="00CD5A46" w:rsidRDefault="006864E2" w:rsidP="008818E0">
      <w:pPr>
        <w:pStyle w:val="Heading1"/>
        <w:spacing w:before="0" w:after="0"/>
        <w:contextualSpacing/>
        <w:jc w:val="both"/>
      </w:pPr>
      <w:bookmarkStart w:id="234" w:name="_Toc375572569"/>
      <w:r w:rsidRPr="00CD5A46">
        <w:t xml:space="preserve">Termination of the </w:t>
      </w:r>
      <w:r w:rsidR="00BF54D6" w:rsidRPr="00CD5A46">
        <w:t>Voluntary Agreement</w:t>
      </w:r>
      <w:bookmarkEnd w:id="234"/>
    </w:p>
    <w:p w14:paraId="71BDE4A6" w14:textId="77777777" w:rsidR="006864E2" w:rsidRPr="00CD5A46" w:rsidRDefault="006864E2" w:rsidP="008818E0">
      <w:pPr>
        <w:ind w:firstLine="720"/>
        <w:contextualSpacing/>
        <w:jc w:val="both"/>
      </w:pPr>
    </w:p>
    <w:p w14:paraId="1CF9B748" w14:textId="77777777" w:rsidR="006864E2" w:rsidRPr="00CD5A46" w:rsidRDefault="006864E2" w:rsidP="008818E0">
      <w:pPr>
        <w:ind w:left="360"/>
        <w:contextualSpacing/>
        <w:jc w:val="both"/>
      </w:pPr>
      <w:r w:rsidRPr="00CD5A46">
        <w:t xml:space="preserve">The </w:t>
      </w:r>
      <w:r w:rsidR="00812654" w:rsidRPr="001E38C6">
        <w:rPr>
          <w:highlight w:val="yellow"/>
        </w:rPr>
        <w:t>Signatories</w:t>
      </w:r>
      <w:r w:rsidRPr="00CD5A46">
        <w:t xml:space="preserve"> may decide to terminate the </w:t>
      </w:r>
      <w:r w:rsidR="00BF54D6" w:rsidRPr="00CD5A46">
        <w:t xml:space="preserve">Voluntary Agreement </w:t>
      </w:r>
      <w:r w:rsidR="00033710" w:rsidRPr="00CD5A46">
        <w:t>at any time</w:t>
      </w:r>
      <w:r w:rsidRPr="00CD5A46">
        <w:t>. Reasons for termination could be, but are not limited to:</w:t>
      </w:r>
    </w:p>
    <w:p w14:paraId="32F90C1D" w14:textId="77777777" w:rsidR="006864E2" w:rsidRPr="00CD5A46" w:rsidRDefault="006864E2" w:rsidP="008818E0">
      <w:pPr>
        <w:numPr>
          <w:ilvl w:val="0"/>
          <w:numId w:val="26"/>
        </w:numPr>
        <w:contextualSpacing/>
        <w:jc w:val="both"/>
      </w:pPr>
      <w:r w:rsidRPr="00CD5A46">
        <w:t xml:space="preserve">Signatories no longer </w:t>
      </w:r>
      <w:r w:rsidR="0018292E">
        <w:t xml:space="preserve">meet the relevant </w:t>
      </w:r>
      <w:r w:rsidR="00342C63">
        <w:t xml:space="preserve">market coverage </w:t>
      </w:r>
      <w:r w:rsidR="0018292E">
        <w:t>threshold (</w:t>
      </w:r>
      <w:r w:rsidR="00587E72">
        <w:t>8</w:t>
      </w:r>
      <w:r w:rsidR="0018292E">
        <w:t xml:space="preserve">0%) </w:t>
      </w:r>
      <w:r w:rsidR="00587E72">
        <w:t>and this continues for a period over six months;</w:t>
      </w:r>
    </w:p>
    <w:p w14:paraId="17528EE7" w14:textId="77777777" w:rsidR="006864E2" w:rsidRPr="00CD5A46" w:rsidRDefault="00CA0D52" w:rsidP="008818E0">
      <w:pPr>
        <w:numPr>
          <w:ilvl w:val="0"/>
          <w:numId w:val="26"/>
        </w:numPr>
        <w:contextualSpacing/>
        <w:jc w:val="both"/>
      </w:pPr>
      <w:r w:rsidRPr="00CD5A46">
        <w:t>A m</w:t>
      </w:r>
      <w:r w:rsidR="006864E2" w:rsidRPr="00CD5A46">
        <w:t xml:space="preserve">ajority of </w:t>
      </w:r>
      <w:r w:rsidR="00AA24C6" w:rsidRPr="00CD5A46">
        <w:t>S</w:t>
      </w:r>
      <w:r w:rsidR="006864E2" w:rsidRPr="00CD5A46">
        <w:t xml:space="preserve">ignatories </w:t>
      </w:r>
      <w:r w:rsidR="0018292E">
        <w:t xml:space="preserve">no longer </w:t>
      </w:r>
      <w:r w:rsidR="006864E2" w:rsidRPr="00CD5A46">
        <w:t xml:space="preserve"> meet the </w:t>
      </w:r>
      <w:r w:rsidR="00AA24C6" w:rsidRPr="00CD5A46">
        <w:t>C</w:t>
      </w:r>
      <w:r w:rsidR="006864E2" w:rsidRPr="00CD5A46">
        <w:t xml:space="preserve">ommitments of the </w:t>
      </w:r>
      <w:r w:rsidR="00BF54D6" w:rsidRPr="00CD5A46">
        <w:t>Voluntary Agreement</w:t>
      </w:r>
      <w:r w:rsidR="00D345EA" w:rsidRPr="00CD5A46">
        <w:t>;</w:t>
      </w:r>
    </w:p>
    <w:p w14:paraId="35A79D64" w14:textId="77777777" w:rsidR="00E62122" w:rsidRDefault="006864E2" w:rsidP="008818E0">
      <w:pPr>
        <w:numPr>
          <w:ilvl w:val="0"/>
          <w:numId w:val="26"/>
        </w:numPr>
        <w:contextualSpacing/>
        <w:jc w:val="both"/>
      </w:pPr>
      <w:r w:rsidRPr="00CD5A46">
        <w:t>Legislation is implemented that overrule</w:t>
      </w:r>
      <w:r w:rsidR="00CA0D52" w:rsidRPr="00CD5A46">
        <w:t>s</w:t>
      </w:r>
      <w:r w:rsidR="00063FE2" w:rsidRPr="00CD5A46">
        <w:t xml:space="preserve"> or conflict</w:t>
      </w:r>
      <w:r w:rsidR="00CA0D52" w:rsidRPr="00CD5A46">
        <w:t>s with</w:t>
      </w:r>
      <w:r w:rsidRPr="00CD5A46">
        <w:t xml:space="preserve"> the </w:t>
      </w:r>
      <w:r w:rsidR="00BF54D6" w:rsidRPr="00CD5A46">
        <w:t>Voluntary Agreement</w:t>
      </w:r>
      <w:r w:rsidR="00D345EA" w:rsidRPr="00CD5A46">
        <w:t xml:space="preserve">; </w:t>
      </w:r>
    </w:p>
    <w:p w14:paraId="571970E1" w14:textId="7A4DE3CF" w:rsidR="00897FB1" w:rsidRPr="00CD5A46" w:rsidRDefault="006864E2" w:rsidP="008818E0">
      <w:pPr>
        <w:numPr>
          <w:ilvl w:val="0"/>
          <w:numId w:val="26"/>
        </w:numPr>
        <w:tabs>
          <w:tab w:val="num" w:pos="-1944"/>
        </w:tabs>
        <w:contextualSpacing/>
        <w:jc w:val="both"/>
      </w:pPr>
      <w:r w:rsidRPr="00CD5A46">
        <w:t>Signatories have a considerable disadvantage over “free riders”</w:t>
      </w:r>
      <w:r w:rsidR="00D345EA" w:rsidRPr="00CD5A46">
        <w:t>.</w:t>
      </w:r>
    </w:p>
    <w:p w14:paraId="060C3F42" w14:textId="77777777" w:rsidR="00D66F03" w:rsidRPr="00CD5A46" w:rsidRDefault="000F3754" w:rsidP="008818E0">
      <w:pPr>
        <w:pStyle w:val="Heading1"/>
        <w:numPr>
          <w:ilvl w:val="0"/>
          <w:numId w:val="0"/>
        </w:numPr>
        <w:spacing w:before="0" w:after="0"/>
        <w:contextualSpacing/>
        <w:jc w:val="both"/>
      </w:pPr>
      <w:r w:rsidRPr="00CD5A46">
        <w:br w:type="page"/>
      </w:r>
      <w:bookmarkStart w:id="235" w:name="_Toc375572570"/>
      <w:r w:rsidR="00D66F03" w:rsidRPr="00CD5A46">
        <w:lastRenderedPageBreak/>
        <w:t xml:space="preserve">Annex </w:t>
      </w:r>
      <w:r w:rsidR="00A55770" w:rsidRPr="00CD5A46">
        <w:t>A</w:t>
      </w:r>
      <w:r w:rsidR="00D66F03" w:rsidRPr="00CD5A46">
        <w:t>: Definitions</w:t>
      </w:r>
      <w:bookmarkEnd w:id="235"/>
    </w:p>
    <w:p w14:paraId="1EE38073" w14:textId="77777777" w:rsidR="0053552A" w:rsidRPr="00CD5A46" w:rsidRDefault="0053552A" w:rsidP="008818E0">
      <w:pPr>
        <w:contextualSpacing/>
        <w:jc w:val="both"/>
      </w:pPr>
    </w:p>
    <w:p w14:paraId="18C37B78" w14:textId="77777777" w:rsidR="00AE6AFE" w:rsidRPr="00CD5A46" w:rsidRDefault="00F84C1C" w:rsidP="008818E0">
      <w:pPr>
        <w:contextualSpacing/>
        <w:jc w:val="both"/>
      </w:pPr>
      <w:r w:rsidRPr="00CD5A46">
        <w:t xml:space="preserve">All terms used in this document and not defined in this </w:t>
      </w:r>
      <w:r w:rsidR="00AA24C6" w:rsidRPr="00CD5A46">
        <w:t>A</w:t>
      </w:r>
      <w:r w:rsidRPr="00CD5A46">
        <w:t xml:space="preserve">nnex </w:t>
      </w:r>
      <w:r w:rsidR="00AA24C6" w:rsidRPr="00CD5A46">
        <w:t>A</w:t>
      </w:r>
      <w:r w:rsidRPr="00CD5A46">
        <w:t xml:space="preserve"> are defined in Annex C, Part VII to the Agreement between the Government of the United States and the European Community on the coordination of energy-efficiency </w:t>
      </w:r>
      <w:r w:rsidR="00E53C30" w:rsidRPr="00CD5A46">
        <w:t>labelling</w:t>
      </w:r>
      <w:r w:rsidRPr="00CD5A46">
        <w:t xml:space="preserve"> programmes for office equipment, as stated in the Annex of Commission decision 2009/347/EC (EU </w:t>
      </w:r>
      <w:r w:rsidR="00EB1250" w:rsidRPr="00CD5A46">
        <w:t>ENERGY STAR</w:t>
      </w:r>
      <w:r w:rsidR="00E53C30" w:rsidRPr="00CD5A46">
        <w:t>®</w:t>
      </w:r>
      <w:r w:rsidRPr="00CD5A46">
        <w:t>)</w:t>
      </w:r>
    </w:p>
    <w:p w14:paraId="1E646D35" w14:textId="77777777" w:rsidR="00F84C1C" w:rsidRPr="00CD5A46" w:rsidRDefault="00F84C1C" w:rsidP="008818E0">
      <w:pPr>
        <w:contextualSpacing/>
        <w:jc w:val="both"/>
      </w:pPr>
    </w:p>
    <w:p w14:paraId="0DBE5017" w14:textId="77777777" w:rsidR="0053552A" w:rsidRDefault="0053552A" w:rsidP="008818E0">
      <w:pPr>
        <w:numPr>
          <w:ilvl w:val="0"/>
          <w:numId w:val="20"/>
        </w:numPr>
        <w:contextualSpacing/>
        <w:jc w:val="both"/>
      </w:pPr>
      <w:r w:rsidRPr="00CD5A46">
        <w:rPr>
          <w:b/>
        </w:rPr>
        <w:t>Signatories</w:t>
      </w:r>
      <w:r w:rsidRPr="00CD5A46">
        <w:t xml:space="preserve">: </w:t>
      </w:r>
      <w:r w:rsidR="0001275E" w:rsidRPr="00CD5A46">
        <w:t>means</w:t>
      </w:r>
      <w:r w:rsidRPr="00CD5A46">
        <w:t xml:space="preserve"> all member companies that have signed this Voluntary Agreement. See in section 1 the name of </w:t>
      </w:r>
      <w:r w:rsidR="00AA24C6" w:rsidRPr="00CD5A46">
        <w:t>S</w:t>
      </w:r>
      <w:r w:rsidRPr="00CD5A46">
        <w:t>ignatories of this Voluntary Agreement</w:t>
      </w:r>
      <w:r w:rsidR="00CD5A46" w:rsidRPr="00CD5A46">
        <w:t>.</w:t>
      </w:r>
    </w:p>
    <w:p w14:paraId="591340EB" w14:textId="77777777" w:rsidR="00EA0EC6" w:rsidRPr="00214174" w:rsidRDefault="00EA0EC6" w:rsidP="008818E0">
      <w:pPr>
        <w:ind w:left="720"/>
        <w:contextualSpacing/>
        <w:jc w:val="both"/>
      </w:pPr>
    </w:p>
    <w:p w14:paraId="52AE6AE9" w14:textId="1E1018DE" w:rsidR="00EA0EC6" w:rsidRPr="003F4204" w:rsidRDefault="008E725D" w:rsidP="008818E0">
      <w:pPr>
        <w:pStyle w:val="ListParagraph"/>
        <w:numPr>
          <w:ilvl w:val="0"/>
          <w:numId w:val="20"/>
        </w:numPr>
        <w:jc w:val="both"/>
        <w:rPr>
          <w:rFonts w:ascii="Arial" w:hAnsi="Arial" w:cs="Arial"/>
          <w:highlight w:val="yellow"/>
        </w:rPr>
      </w:pPr>
      <w:r w:rsidRPr="00A341A6">
        <w:rPr>
          <w:rFonts w:ascii="Arial" w:hAnsi="Arial" w:cs="Arial"/>
          <w:b/>
          <w:sz w:val="20"/>
          <w:szCs w:val="20"/>
          <w:highlight w:val="yellow"/>
        </w:rPr>
        <w:t>OEM</w:t>
      </w:r>
      <w:r w:rsidRPr="00214174">
        <w:rPr>
          <w:rFonts w:ascii="Arial" w:hAnsi="Arial" w:cs="Arial"/>
          <w:sz w:val="20"/>
          <w:szCs w:val="20"/>
          <w:highlight w:val="yellow"/>
        </w:rPr>
        <w:t xml:space="preserve"> (original equipment manufacturer): a company that manufactures and </w:t>
      </w:r>
      <w:r w:rsidRPr="002E4B0F">
        <w:rPr>
          <w:rFonts w:ascii="Arial" w:hAnsi="Arial" w:cs="Arial"/>
          <w:sz w:val="20"/>
          <w:szCs w:val="20"/>
          <w:highlight w:val="yellow"/>
        </w:rPr>
        <w:t>commercializes</w:t>
      </w:r>
      <w:r w:rsidR="00093088">
        <w:rPr>
          <w:rFonts w:ascii="Arial" w:hAnsi="Arial" w:cs="Arial"/>
          <w:sz w:val="20"/>
          <w:szCs w:val="20"/>
          <w:highlight w:val="yellow"/>
        </w:rPr>
        <w:t>/imports</w:t>
      </w:r>
      <w:r w:rsidRPr="002E4B0F">
        <w:rPr>
          <w:rFonts w:ascii="Arial" w:hAnsi="Arial" w:cs="Arial"/>
          <w:sz w:val="20"/>
          <w:szCs w:val="20"/>
          <w:highlight w:val="yellow"/>
        </w:rPr>
        <w:t xml:space="preserve"> products under its own brand name</w:t>
      </w:r>
      <w:r w:rsidR="00093088">
        <w:rPr>
          <w:rFonts w:ascii="Arial" w:hAnsi="Arial" w:cs="Arial"/>
          <w:sz w:val="20"/>
          <w:szCs w:val="20"/>
          <w:highlight w:val="yellow"/>
        </w:rPr>
        <w:t xml:space="preserve"> into the EU territory.</w:t>
      </w:r>
    </w:p>
    <w:p w14:paraId="084849EF" w14:textId="77777777" w:rsidR="00EA0EC6" w:rsidRDefault="00EA0EC6" w:rsidP="008818E0">
      <w:pPr>
        <w:ind w:left="360"/>
        <w:contextualSpacing/>
        <w:jc w:val="both"/>
      </w:pPr>
    </w:p>
    <w:p w14:paraId="58490EC5" w14:textId="7BD36FE2" w:rsidR="00B55BDE" w:rsidRPr="00CD5A46" w:rsidRDefault="00B55BDE" w:rsidP="008818E0">
      <w:pPr>
        <w:numPr>
          <w:ilvl w:val="0"/>
          <w:numId w:val="20"/>
        </w:numPr>
        <w:contextualSpacing/>
        <w:jc w:val="both"/>
      </w:pPr>
      <w:r w:rsidRPr="00CD5A46">
        <w:rPr>
          <w:b/>
        </w:rPr>
        <w:t>Potential Signatories:</w:t>
      </w:r>
      <w:r w:rsidRPr="00CD5A46">
        <w:t xml:space="preserve"> </w:t>
      </w:r>
      <w:r w:rsidR="006649AC">
        <w:t>M</w:t>
      </w:r>
      <w:r w:rsidR="006649AC" w:rsidRPr="00CD5A46">
        <w:t xml:space="preserve">eans </w:t>
      </w:r>
      <w:r w:rsidR="000E1056">
        <w:t>OEM</w:t>
      </w:r>
      <w:r w:rsidRPr="00CD5A46">
        <w:t xml:space="preserve">, which </w:t>
      </w:r>
      <w:r w:rsidR="000E1056">
        <w:t>manufacture</w:t>
      </w:r>
      <w:r w:rsidR="000E1056" w:rsidRPr="00CD5A46">
        <w:t xml:space="preserve"> </w:t>
      </w:r>
      <w:r w:rsidRPr="00CD5A46">
        <w:t xml:space="preserve">and </w:t>
      </w:r>
      <w:r w:rsidR="000E1056">
        <w:t>commercialize/import</w:t>
      </w:r>
      <w:r w:rsidR="000E1056" w:rsidRPr="00CD5A46">
        <w:t xml:space="preserve"> </w:t>
      </w:r>
      <w:r w:rsidRPr="00CD5A46">
        <w:t xml:space="preserve">at least one device of the product categories listed in </w:t>
      </w:r>
      <w:r w:rsidR="00CA0D52" w:rsidRPr="00CD5A46">
        <w:t xml:space="preserve">Section </w:t>
      </w:r>
      <w:r w:rsidRPr="00CD5A46">
        <w:t>3.</w:t>
      </w:r>
      <w:r w:rsidR="00C65454">
        <w:t>2</w:t>
      </w:r>
      <w:r w:rsidRPr="00CD5A46">
        <w:t>.</w:t>
      </w:r>
    </w:p>
    <w:p w14:paraId="05C87735" w14:textId="77777777" w:rsidR="00B55BDE" w:rsidRPr="00CD5A46" w:rsidRDefault="00B55BDE" w:rsidP="008818E0">
      <w:pPr>
        <w:ind w:left="360"/>
        <w:contextualSpacing/>
        <w:jc w:val="both"/>
      </w:pPr>
    </w:p>
    <w:p w14:paraId="7691E559" w14:textId="797829E2" w:rsidR="00AA24C6" w:rsidRPr="00CD5A46" w:rsidRDefault="00AA24C6" w:rsidP="008818E0">
      <w:pPr>
        <w:numPr>
          <w:ilvl w:val="0"/>
          <w:numId w:val="20"/>
        </w:numPr>
        <w:contextualSpacing/>
        <w:jc w:val="both"/>
      </w:pPr>
      <w:r w:rsidRPr="00CD5A46">
        <w:rPr>
          <w:b/>
        </w:rPr>
        <w:t>Commitments:</w:t>
      </w:r>
      <w:r w:rsidRPr="00CD5A46">
        <w:t xml:space="preserve"> </w:t>
      </w:r>
      <w:r w:rsidR="006649AC">
        <w:t>M</w:t>
      </w:r>
      <w:r w:rsidR="006649AC" w:rsidRPr="00CD5A46">
        <w:t xml:space="preserve">eans </w:t>
      </w:r>
      <w:r w:rsidRPr="00CD5A46">
        <w:t>the Commitments described in Sections 4</w:t>
      </w:r>
      <w:r w:rsidR="00C65454">
        <w:t>,</w:t>
      </w:r>
      <w:r w:rsidRPr="00CD5A46">
        <w:t xml:space="preserve"> 5</w:t>
      </w:r>
      <w:r w:rsidR="00C65454">
        <w:t xml:space="preserve"> and 6</w:t>
      </w:r>
      <w:r w:rsidRPr="00CD5A46">
        <w:t xml:space="preserve"> to this Agreement</w:t>
      </w:r>
      <w:r w:rsidR="009412E0" w:rsidRPr="00CD5A46">
        <w:t xml:space="preserve"> altogether.</w:t>
      </w:r>
    </w:p>
    <w:p w14:paraId="561870E8" w14:textId="77777777" w:rsidR="00B55BDE" w:rsidRPr="00CD5A46" w:rsidRDefault="00B55BDE" w:rsidP="008818E0">
      <w:pPr>
        <w:contextualSpacing/>
        <w:jc w:val="both"/>
        <w:rPr>
          <w:b/>
        </w:rPr>
      </w:pPr>
    </w:p>
    <w:p w14:paraId="02B04B94" w14:textId="11EBBBD0" w:rsidR="0053552A" w:rsidRPr="00CD5A46" w:rsidRDefault="0053552A" w:rsidP="008818E0">
      <w:pPr>
        <w:numPr>
          <w:ilvl w:val="0"/>
          <w:numId w:val="20"/>
        </w:numPr>
        <w:contextualSpacing/>
        <w:jc w:val="both"/>
      </w:pPr>
      <w:r w:rsidRPr="00CD5A46">
        <w:rPr>
          <w:b/>
        </w:rPr>
        <w:t>Defaulting Signatories</w:t>
      </w:r>
      <w:r w:rsidRPr="00CD5A46">
        <w:t xml:space="preserve">: </w:t>
      </w:r>
      <w:r w:rsidR="006649AC">
        <w:t>M</w:t>
      </w:r>
      <w:r w:rsidR="006649AC" w:rsidRPr="00CD5A46">
        <w:t xml:space="preserve">eans </w:t>
      </w:r>
      <w:r w:rsidRPr="00CD5A46">
        <w:t>all</w:t>
      </w:r>
      <w:r w:rsidR="0001275E" w:rsidRPr="00CD5A46">
        <w:t xml:space="preserve"> Signatories given the status of Defaulting Signatory by the </w:t>
      </w:r>
      <w:r w:rsidR="001C4A0E" w:rsidRPr="00CD5A46">
        <w:t xml:space="preserve">Steering Committee </w:t>
      </w:r>
      <w:r w:rsidR="0001275E" w:rsidRPr="00CD5A46">
        <w:t xml:space="preserve">in accordance with </w:t>
      </w:r>
      <w:r w:rsidR="0001275E" w:rsidRPr="009664EF">
        <w:rPr>
          <w:highlight w:val="yellow"/>
        </w:rPr>
        <w:t xml:space="preserve">Section </w:t>
      </w:r>
      <w:r w:rsidR="00C65454" w:rsidRPr="009664EF">
        <w:rPr>
          <w:highlight w:val="yellow"/>
        </w:rPr>
        <w:t>12</w:t>
      </w:r>
      <w:r w:rsidR="0001275E" w:rsidRPr="00CD5A46">
        <w:t>.</w:t>
      </w:r>
      <w:r w:rsidRPr="00CD5A46">
        <w:t xml:space="preserve"> </w:t>
      </w:r>
    </w:p>
    <w:p w14:paraId="40501155" w14:textId="77777777" w:rsidR="0053552A" w:rsidRPr="00CD5A46" w:rsidRDefault="0053552A" w:rsidP="008818E0">
      <w:pPr>
        <w:contextualSpacing/>
        <w:jc w:val="both"/>
      </w:pPr>
    </w:p>
    <w:p w14:paraId="5AB5B5EF" w14:textId="77777777" w:rsidR="0053552A" w:rsidRPr="00CD5A46" w:rsidRDefault="0053552A" w:rsidP="008818E0">
      <w:pPr>
        <w:numPr>
          <w:ilvl w:val="0"/>
          <w:numId w:val="20"/>
        </w:numPr>
        <w:contextualSpacing/>
        <w:jc w:val="both"/>
      </w:pPr>
      <w:r w:rsidRPr="00CD5A46">
        <w:rPr>
          <w:b/>
        </w:rPr>
        <w:t>Copier</w:t>
      </w:r>
      <w:r w:rsidRPr="00CD5A46">
        <w:t xml:space="preserve">: A commercially-available imaging product whose sole function is the production of hard copy duplicates from graphic hard copy originals. The unit must be capable of being powered from a wall outlet or from a data or network connection. This definition is intended to cover products that are marketed as copiers or upgradeable digital copiers (UDCs). </w:t>
      </w:r>
    </w:p>
    <w:p w14:paraId="08116A51" w14:textId="77777777" w:rsidR="0053552A" w:rsidRPr="00CD5A46" w:rsidRDefault="0053552A" w:rsidP="008818E0">
      <w:pPr>
        <w:contextualSpacing/>
        <w:jc w:val="both"/>
      </w:pPr>
    </w:p>
    <w:p w14:paraId="1F286CC3" w14:textId="66BAACB7" w:rsidR="0053552A" w:rsidRPr="00CD5A46" w:rsidRDefault="0053552A" w:rsidP="008818E0">
      <w:pPr>
        <w:numPr>
          <w:ilvl w:val="0"/>
          <w:numId w:val="20"/>
        </w:numPr>
        <w:contextualSpacing/>
        <w:jc w:val="both"/>
      </w:pPr>
      <w:r w:rsidRPr="00CD5A46">
        <w:rPr>
          <w:b/>
        </w:rPr>
        <w:t>Fax Machine:</w:t>
      </w:r>
      <w:r w:rsidR="00073090" w:rsidRPr="00CD5A46">
        <w:rPr>
          <w:b/>
        </w:rPr>
        <w:t xml:space="preserve"> </w:t>
      </w:r>
      <w:r w:rsidR="008038DD">
        <w:t>C</w:t>
      </w:r>
      <w:r w:rsidR="008038DD" w:rsidRPr="00CD5A46">
        <w:t>ommercially</w:t>
      </w:r>
      <w:r w:rsidRPr="00CD5A46">
        <w:t xml:space="preserve">-available imaging product whose primary functions are scanning hard copy originals for electronic transmission to remote units and receiving similar electronic transmissions to produce hard copy output. Electronic transmission is primarily over a public telephone system, but also may be via computer network or the Internet. The product also may be capable of producing hard copy duplicates. The unit must be capable of being powered from a wall outlet or from a data or network connection. This definition is intended to cover products that are marketed as fax machines. </w:t>
      </w:r>
    </w:p>
    <w:p w14:paraId="6CE12551" w14:textId="77777777" w:rsidR="0053552A" w:rsidRPr="00CD5A46" w:rsidRDefault="0053552A" w:rsidP="008818E0">
      <w:pPr>
        <w:contextualSpacing/>
        <w:jc w:val="both"/>
      </w:pPr>
    </w:p>
    <w:p w14:paraId="14618246" w14:textId="77777777" w:rsidR="0053552A" w:rsidRPr="00CD5A46" w:rsidRDefault="0053552A" w:rsidP="008818E0">
      <w:pPr>
        <w:numPr>
          <w:ilvl w:val="0"/>
          <w:numId w:val="20"/>
        </w:numPr>
        <w:contextualSpacing/>
        <w:jc w:val="both"/>
      </w:pPr>
      <w:r w:rsidRPr="00CD5A46">
        <w:rPr>
          <w:b/>
        </w:rPr>
        <w:t xml:space="preserve">Multifunction Device (MFD): </w:t>
      </w:r>
      <w:r w:rsidRPr="00CD5A46">
        <w:t>A</w:t>
      </w:r>
      <w:r w:rsidRPr="00CD5A46">
        <w:rPr>
          <w:b/>
        </w:rPr>
        <w:t xml:space="preserve"> </w:t>
      </w:r>
      <w:r w:rsidRPr="00CD5A46">
        <w:t xml:space="preserve">commercially-available imaging product, which is a physically-integrated device or a combination of functionally-integrated components that performs two or more of the core functions of copying, printing, scanning, or faxing. The copy functionality as addressed in this definition is considered to be distinct from single sheet convenience copying offered by fax machines. The unit must be capable of being powered from a wall outlet or from a data or network connection. This definition is intended to cover products that are marketed as MFDs or multifunction products (MFPs). </w:t>
      </w:r>
    </w:p>
    <w:p w14:paraId="7BCF75FE" w14:textId="77777777" w:rsidR="0053552A" w:rsidRPr="00CD5A46" w:rsidRDefault="0053552A" w:rsidP="008818E0">
      <w:pPr>
        <w:contextualSpacing/>
        <w:jc w:val="both"/>
      </w:pPr>
    </w:p>
    <w:p w14:paraId="60EE84D0" w14:textId="77777777" w:rsidR="0053552A" w:rsidRDefault="0053552A" w:rsidP="008818E0">
      <w:pPr>
        <w:numPr>
          <w:ilvl w:val="0"/>
          <w:numId w:val="20"/>
        </w:numPr>
        <w:contextualSpacing/>
        <w:jc w:val="both"/>
      </w:pPr>
      <w:r w:rsidRPr="00CD5A46">
        <w:rPr>
          <w:b/>
        </w:rPr>
        <w:t>Printer:</w:t>
      </w:r>
      <w:r w:rsidRPr="00CD5A46">
        <w:t xml:space="preserve"> A commercially-available imaging product that serves as a hard copy output device, and is capable of receiving information from single-user or networked computers, or other input devices (e.g., digital cameras). The unit must be capable of being powered from a wall outlet or from a data or network connection. This definition is intended to cover products that are marketed as printers, including printers that can be upgraded into MFDs in the field. </w:t>
      </w:r>
    </w:p>
    <w:p w14:paraId="3969FD00" w14:textId="77777777" w:rsidR="00F038BA" w:rsidRDefault="00F038BA" w:rsidP="008818E0">
      <w:pPr>
        <w:pStyle w:val="ListParagraph"/>
        <w:jc w:val="both"/>
      </w:pPr>
    </w:p>
    <w:p w14:paraId="321BAFE2" w14:textId="77777777" w:rsidR="00F038BA" w:rsidRPr="009D64B6" w:rsidRDefault="00F038BA" w:rsidP="008818E0">
      <w:pPr>
        <w:pStyle w:val="ListParagraph"/>
        <w:numPr>
          <w:ilvl w:val="0"/>
          <w:numId w:val="20"/>
        </w:numPr>
        <w:autoSpaceDE w:val="0"/>
        <w:autoSpaceDN w:val="0"/>
        <w:adjustRightInd w:val="0"/>
        <w:jc w:val="both"/>
        <w:rPr>
          <w:highlight w:val="yellow"/>
        </w:rPr>
      </w:pPr>
      <w:r w:rsidRPr="009D64B6">
        <w:rPr>
          <w:rFonts w:ascii="Arial" w:hAnsi="Arial" w:cs="Arial"/>
          <w:b/>
          <w:sz w:val="20"/>
          <w:highlight w:val="yellow"/>
        </w:rPr>
        <w:t>Model</w:t>
      </w:r>
      <w:r w:rsidRPr="009D64B6">
        <w:rPr>
          <w:rFonts w:ascii="Arial" w:hAnsi="Arial" w:cs="Arial"/>
          <w:sz w:val="20"/>
          <w:highlight w:val="yellow"/>
        </w:rPr>
        <w:t>: An imaging equipment product that is sold or marketed under a unique model number or marketing name. A product model may be comprised of a base product or a base product plus accessories.</w:t>
      </w:r>
    </w:p>
    <w:p w14:paraId="6B37447F" w14:textId="77777777" w:rsidR="0053552A" w:rsidRPr="00CD5A46" w:rsidRDefault="0053552A" w:rsidP="008818E0">
      <w:pPr>
        <w:contextualSpacing/>
        <w:jc w:val="both"/>
      </w:pPr>
    </w:p>
    <w:p w14:paraId="424B9C58" w14:textId="77777777" w:rsidR="0053552A" w:rsidRPr="00CD5A46" w:rsidRDefault="0053552A" w:rsidP="008818E0">
      <w:pPr>
        <w:numPr>
          <w:ilvl w:val="0"/>
          <w:numId w:val="20"/>
        </w:numPr>
        <w:contextualSpacing/>
        <w:jc w:val="both"/>
      </w:pPr>
      <w:r w:rsidRPr="00CD5A46">
        <w:rPr>
          <w:b/>
        </w:rPr>
        <w:t>Electrophotography (EP):</w:t>
      </w:r>
      <w:r w:rsidR="00073090" w:rsidRPr="00CD5A46">
        <w:t xml:space="preserve"> </w:t>
      </w:r>
      <w:r w:rsidRPr="00CD5A46">
        <w:t xml:space="preserve">A marking technology characterized by illumination of a photoconductor in a pattern representing the desired hard copy image via a light source, development of the image with particles of toner using the latent image on the photoconductor to define the presence or absence of toner at a given location, transfer of the toner to the final hard copy medium, and fusing to cause the desired hard copy to become durable. Types of EP include Laser, LED, and LCD. </w:t>
      </w:r>
      <w:r w:rsidR="003B4B30" w:rsidRPr="00CD5A46">
        <w:t>Colour</w:t>
      </w:r>
      <w:r w:rsidRPr="00CD5A46">
        <w:t xml:space="preserve"> EP is distinguished from monochrome EP in that </w:t>
      </w:r>
      <w:r w:rsidRPr="00CD5A46">
        <w:lastRenderedPageBreak/>
        <w:t xml:space="preserve">toners of at least three different </w:t>
      </w:r>
      <w:r w:rsidR="003B4B30" w:rsidRPr="00CD5A46">
        <w:t>colours</w:t>
      </w:r>
      <w:r w:rsidRPr="00CD5A46">
        <w:t xml:space="preserve"> are available in a given product at one time. Two types of </w:t>
      </w:r>
      <w:r w:rsidR="003B4B30" w:rsidRPr="00CD5A46">
        <w:t>colour</w:t>
      </w:r>
      <w:r w:rsidRPr="00CD5A46">
        <w:t xml:space="preserve"> EP technology are defined below: </w:t>
      </w:r>
    </w:p>
    <w:p w14:paraId="69B9BE7F" w14:textId="77777777" w:rsidR="0053552A" w:rsidRPr="00CD5A46" w:rsidRDefault="0053552A" w:rsidP="008818E0">
      <w:pPr>
        <w:pStyle w:val="Default"/>
        <w:numPr>
          <w:ilvl w:val="1"/>
          <w:numId w:val="20"/>
        </w:numPr>
        <w:contextualSpacing/>
        <w:jc w:val="both"/>
        <w:rPr>
          <w:color w:val="auto"/>
          <w:sz w:val="20"/>
          <w:szCs w:val="20"/>
        </w:rPr>
      </w:pPr>
      <w:r w:rsidRPr="00CD5A46">
        <w:rPr>
          <w:color w:val="auto"/>
          <w:sz w:val="20"/>
          <w:szCs w:val="20"/>
        </w:rPr>
        <w:t xml:space="preserve">Parallel </w:t>
      </w:r>
      <w:r w:rsidR="003B4B30" w:rsidRPr="00CD5A46">
        <w:rPr>
          <w:color w:val="auto"/>
          <w:sz w:val="20"/>
          <w:szCs w:val="20"/>
        </w:rPr>
        <w:t>Colour</w:t>
      </w:r>
      <w:r w:rsidRPr="00CD5A46">
        <w:rPr>
          <w:color w:val="auto"/>
          <w:sz w:val="20"/>
          <w:szCs w:val="20"/>
        </w:rPr>
        <w:t xml:space="preserve"> EP – A marking technology that uses multiple light sources and multiple photoconductors to increase the maximum </w:t>
      </w:r>
      <w:r w:rsidR="003B4B30" w:rsidRPr="00CD5A46">
        <w:rPr>
          <w:color w:val="auto"/>
          <w:sz w:val="20"/>
          <w:szCs w:val="20"/>
        </w:rPr>
        <w:t>colour</w:t>
      </w:r>
      <w:r w:rsidRPr="00CD5A46">
        <w:rPr>
          <w:color w:val="auto"/>
          <w:sz w:val="20"/>
          <w:szCs w:val="20"/>
        </w:rPr>
        <w:t xml:space="preserve"> printing speed. </w:t>
      </w:r>
    </w:p>
    <w:p w14:paraId="15CE08DF" w14:textId="77777777" w:rsidR="0053552A" w:rsidRPr="00CD5A46" w:rsidRDefault="0053552A" w:rsidP="008818E0">
      <w:pPr>
        <w:pStyle w:val="Default"/>
        <w:numPr>
          <w:ilvl w:val="1"/>
          <w:numId w:val="20"/>
        </w:numPr>
        <w:contextualSpacing/>
        <w:jc w:val="both"/>
        <w:rPr>
          <w:color w:val="auto"/>
          <w:sz w:val="20"/>
          <w:szCs w:val="20"/>
        </w:rPr>
      </w:pPr>
      <w:r w:rsidRPr="00CD5A46">
        <w:rPr>
          <w:color w:val="auto"/>
          <w:sz w:val="20"/>
          <w:szCs w:val="20"/>
        </w:rPr>
        <w:t xml:space="preserve">Serial </w:t>
      </w:r>
      <w:r w:rsidR="003B4B30" w:rsidRPr="00CD5A46">
        <w:rPr>
          <w:color w:val="auto"/>
          <w:sz w:val="20"/>
          <w:szCs w:val="20"/>
        </w:rPr>
        <w:t>Colour</w:t>
      </w:r>
      <w:r w:rsidRPr="00CD5A46">
        <w:rPr>
          <w:color w:val="auto"/>
          <w:sz w:val="20"/>
          <w:szCs w:val="20"/>
        </w:rPr>
        <w:t xml:space="preserve"> EP – A marking technology that uses a single photoconductor in a serial fashion and one or multiple light sources to achieve the multi-</w:t>
      </w:r>
      <w:r w:rsidR="003B4B30" w:rsidRPr="00CD5A46">
        <w:rPr>
          <w:color w:val="auto"/>
          <w:sz w:val="20"/>
          <w:szCs w:val="20"/>
        </w:rPr>
        <w:t>colour</w:t>
      </w:r>
      <w:r w:rsidRPr="00CD5A46">
        <w:rPr>
          <w:color w:val="auto"/>
          <w:sz w:val="20"/>
          <w:szCs w:val="20"/>
        </w:rPr>
        <w:t xml:space="preserve"> hard copy output. </w:t>
      </w:r>
    </w:p>
    <w:p w14:paraId="1C371AB8" w14:textId="77777777" w:rsidR="0053552A" w:rsidRPr="00CD5A46" w:rsidRDefault="0053552A" w:rsidP="008818E0">
      <w:pPr>
        <w:pStyle w:val="Default"/>
        <w:contextualSpacing/>
        <w:jc w:val="both"/>
        <w:rPr>
          <w:color w:val="auto"/>
          <w:sz w:val="20"/>
          <w:szCs w:val="20"/>
        </w:rPr>
      </w:pPr>
    </w:p>
    <w:p w14:paraId="0908D82B" w14:textId="77777777" w:rsidR="0053552A" w:rsidRPr="00CD5A46" w:rsidRDefault="0053552A" w:rsidP="008818E0">
      <w:pPr>
        <w:pStyle w:val="Default"/>
        <w:numPr>
          <w:ilvl w:val="0"/>
          <w:numId w:val="20"/>
        </w:numPr>
        <w:contextualSpacing/>
        <w:jc w:val="both"/>
        <w:rPr>
          <w:color w:val="auto"/>
          <w:sz w:val="20"/>
          <w:szCs w:val="20"/>
        </w:rPr>
      </w:pPr>
      <w:r w:rsidRPr="00CD5A46">
        <w:rPr>
          <w:b/>
          <w:color w:val="auto"/>
          <w:sz w:val="20"/>
          <w:szCs w:val="20"/>
        </w:rPr>
        <w:t>Ink Jet (IJ):</w:t>
      </w:r>
      <w:r w:rsidRPr="00CD5A46">
        <w:rPr>
          <w:color w:val="auto"/>
          <w:sz w:val="20"/>
          <w:szCs w:val="20"/>
        </w:rPr>
        <w:t xml:space="preserve"> A marking technology where images are formed by depositing colorant in small drops directly to the print media in a matrix manner. </w:t>
      </w:r>
      <w:r w:rsidR="003B4B30" w:rsidRPr="00CD5A46">
        <w:rPr>
          <w:color w:val="auto"/>
          <w:sz w:val="20"/>
          <w:szCs w:val="20"/>
        </w:rPr>
        <w:t>Colour</w:t>
      </w:r>
      <w:r w:rsidRPr="00CD5A46">
        <w:rPr>
          <w:color w:val="auto"/>
          <w:sz w:val="20"/>
          <w:szCs w:val="20"/>
        </w:rPr>
        <w:t xml:space="preserve"> IJ is distinguished from monochrome IJ in that more than one colorant is available in a product at any one time. Typical types of IJ include </w:t>
      </w:r>
      <w:proofErr w:type="spellStart"/>
      <w:r w:rsidRPr="00CD5A46">
        <w:rPr>
          <w:color w:val="auto"/>
          <w:sz w:val="20"/>
          <w:szCs w:val="20"/>
        </w:rPr>
        <w:t>Piezo</w:t>
      </w:r>
      <w:proofErr w:type="spellEnd"/>
      <w:r w:rsidRPr="00CD5A46">
        <w:rPr>
          <w:color w:val="auto"/>
          <w:sz w:val="20"/>
          <w:szCs w:val="20"/>
        </w:rPr>
        <w:t xml:space="preserve">-electric (PE) IJ, IJ Sublimation, and Thermal IJ. </w:t>
      </w:r>
    </w:p>
    <w:p w14:paraId="33599C80" w14:textId="77777777" w:rsidR="0053552A" w:rsidRPr="00CD5A46" w:rsidRDefault="0053552A" w:rsidP="008818E0">
      <w:pPr>
        <w:pStyle w:val="Default"/>
        <w:ind w:left="360"/>
        <w:contextualSpacing/>
        <w:jc w:val="both"/>
        <w:rPr>
          <w:color w:val="auto"/>
          <w:sz w:val="20"/>
          <w:szCs w:val="20"/>
        </w:rPr>
      </w:pPr>
    </w:p>
    <w:p w14:paraId="0FD59ACB" w14:textId="77777777" w:rsidR="0053552A" w:rsidRPr="00CD5A46" w:rsidRDefault="0053552A" w:rsidP="008818E0">
      <w:pPr>
        <w:pStyle w:val="Default"/>
        <w:numPr>
          <w:ilvl w:val="0"/>
          <w:numId w:val="20"/>
        </w:numPr>
        <w:contextualSpacing/>
        <w:jc w:val="both"/>
        <w:rPr>
          <w:color w:val="auto"/>
          <w:sz w:val="20"/>
          <w:szCs w:val="20"/>
        </w:rPr>
      </w:pPr>
      <w:r w:rsidRPr="00CD5A46">
        <w:rPr>
          <w:b/>
          <w:color w:val="auto"/>
          <w:sz w:val="20"/>
          <w:szCs w:val="20"/>
        </w:rPr>
        <w:t>High Performance IJ:</w:t>
      </w:r>
      <w:r w:rsidRPr="00CD5A46">
        <w:rPr>
          <w:color w:val="auto"/>
          <w:sz w:val="20"/>
          <w:szCs w:val="20"/>
        </w:rPr>
        <w:t xml:space="preserve"> The use of an IJ marking technology in high-performance business applications usually occupied by </w:t>
      </w:r>
      <w:proofErr w:type="spellStart"/>
      <w:r w:rsidRPr="00CD5A46">
        <w:rPr>
          <w:color w:val="auto"/>
          <w:sz w:val="20"/>
          <w:szCs w:val="20"/>
        </w:rPr>
        <w:t>electrophotographic</w:t>
      </w:r>
      <w:proofErr w:type="spellEnd"/>
      <w:r w:rsidRPr="00CD5A46">
        <w:rPr>
          <w:color w:val="auto"/>
          <w:sz w:val="20"/>
          <w:szCs w:val="20"/>
        </w:rPr>
        <w:t xml:space="preserve"> marking technology. This difference between the conventional IJ product and the High Performance IJ product is denoted by the presence of nozzle arrays that span the width of a page and/or the ability to dry the ink on the media through additional media heating mechanisms. </w:t>
      </w:r>
    </w:p>
    <w:p w14:paraId="10A00B61" w14:textId="77777777" w:rsidR="0053552A" w:rsidRPr="00CD5A46" w:rsidRDefault="0053552A" w:rsidP="008818E0">
      <w:pPr>
        <w:pStyle w:val="Default"/>
        <w:contextualSpacing/>
        <w:jc w:val="both"/>
        <w:rPr>
          <w:color w:val="auto"/>
          <w:sz w:val="20"/>
          <w:szCs w:val="20"/>
        </w:rPr>
      </w:pPr>
    </w:p>
    <w:p w14:paraId="66E15377" w14:textId="77777777" w:rsidR="0053552A" w:rsidRPr="00CD5A46" w:rsidRDefault="0053552A" w:rsidP="008818E0">
      <w:pPr>
        <w:pStyle w:val="Default"/>
        <w:numPr>
          <w:ilvl w:val="0"/>
          <w:numId w:val="20"/>
        </w:numPr>
        <w:contextualSpacing/>
        <w:jc w:val="both"/>
        <w:rPr>
          <w:color w:val="auto"/>
          <w:sz w:val="20"/>
          <w:szCs w:val="20"/>
        </w:rPr>
      </w:pPr>
      <w:r w:rsidRPr="00CD5A46">
        <w:rPr>
          <w:b/>
          <w:color w:val="auto"/>
          <w:sz w:val="20"/>
          <w:szCs w:val="20"/>
        </w:rPr>
        <w:t>Solid Ink (SI)</w:t>
      </w:r>
      <w:r w:rsidR="00060967" w:rsidRPr="00CD5A46">
        <w:rPr>
          <w:b/>
          <w:color w:val="auto"/>
          <w:sz w:val="20"/>
          <w:szCs w:val="20"/>
        </w:rPr>
        <w:t>:</w:t>
      </w:r>
      <w:r w:rsidR="00073090" w:rsidRPr="00CD5A46">
        <w:rPr>
          <w:b/>
          <w:color w:val="auto"/>
          <w:sz w:val="20"/>
          <w:szCs w:val="20"/>
        </w:rPr>
        <w:t xml:space="preserve"> </w:t>
      </w:r>
      <w:r w:rsidRPr="00CD5A46">
        <w:rPr>
          <w:color w:val="auto"/>
          <w:sz w:val="20"/>
          <w:szCs w:val="20"/>
        </w:rPr>
        <w:t xml:space="preserve">A marking technology where the ink is solid at room temperature and liquid when heated to the jetting temperature. Transfer to the media can be direct, but is most often made to an intermediate drum or belt and then offset printed to the media. </w:t>
      </w:r>
    </w:p>
    <w:p w14:paraId="6D4BE427" w14:textId="77777777" w:rsidR="0053552A" w:rsidRPr="00CD5A46" w:rsidRDefault="0053552A" w:rsidP="008818E0">
      <w:pPr>
        <w:pStyle w:val="Default"/>
        <w:contextualSpacing/>
        <w:jc w:val="both"/>
        <w:rPr>
          <w:color w:val="auto"/>
          <w:sz w:val="20"/>
          <w:szCs w:val="20"/>
        </w:rPr>
      </w:pPr>
    </w:p>
    <w:p w14:paraId="137CA9E7" w14:textId="77777777" w:rsidR="00060967" w:rsidRPr="00CD5A46" w:rsidRDefault="00060967" w:rsidP="008818E0">
      <w:pPr>
        <w:pStyle w:val="Default"/>
        <w:numPr>
          <w:ilvl w:val="0"/>
          <w:numId w:val="20"/>
        </w:numPr>
        <w:contextualSpacing/>
        <w:jc w:val="both"/>
        <w:rPr>
          <w:color w:val="auto"/>
          <w:sz w:val="20"/>
          <w:szCs w:val="20"/>
        </w:rPr>
      </w:pPr>
      <w:r w:rsidRPr="00CD5A46">
        <w:rPr>
          <w:b/>
          <w:color w:val="auto"/>
          <w:sz w:val="20"/>
          <w:szCs w:val="20"/>
        </w:rPr>
        <w:t>Member States:</w:t>
      </w:r>
      <w:r w:rsidRPr="00CD5A46">
        <w:rPr>
          <w:color w:val="auto"/>
          <w:sz w:val="20"/>
          <w:szCs w:val="20"/>
        </w:rPr>
        <w:t xml:space="preserve"> The </w:t>
      </w:r>
      <w:r w:rsidR="001C4A0E" w:rsidRPr="00CD5A46">
        <w:rPr>
          <w:color w:val="auto"/>
          <w:sz w:val="20"/>
          <w:szCs w:val="20"/>
        </w:rPr>
        <w:t xml:space="preserve">Member States </w:t>
      </w:r>
      <w:r w:rsidR="00D30C5C" w:rsidRPr="00CD5A46">
        <w:rPr>
          <w:color w:val="auto"/>
          <w:sz w:val="20"/>
          <w:szCs w:val="20"/>
        </w:rPr>
        <w:t xml:space="preserve">of the European </w:t>
      </w:r>
      <w:r w:rsidR="003B4B30" w:rsidRPr="00CD5A46">
        <w:rPr>
          <w:color w:val="auto"/>
          <w:sz w:val="20"/>
          <w:szCs w:val="20"/>
        </w:rPr>
        <w:t>Union</w:t>
      </w:r>
    </w:p>
    <w:p w14:paraId="308EAE9A" w14:textId="77777777" w:rsidR="00060967" w:rsidRPr="00CD5A46" w:rsidRDefault="00060967" w:rsidP="008818E0">
      <w:pPr>
        <w:pStyle w:val="Default"/>
        <w:contextualSpacing/>
        <w:jc w:val="both"/>
        <w:rPr>
          <w:color w:val="auto"/>
          <w:sz w:val="20"/>
          <w:szCs w:val="20"/>
        </w:rPr>
      </w:pPr>
    </w:p>
    <w:p w14:paraId="6CCD1FD0" w14:textId="77777777" w:rsidR="008011E3" w:rsidRPr="00CD5A46" w:rsidRDefault="00060967" w:rsidP="008818E0">
      <w:pPr>
        <w:pStyle w:val="Default"/>
        <w:numPr>
          <w:ilvl w:val="0"/>
          <w:numId w:val="20"/>
        </w:numPr>
        <w:contextualSpacing/>
        <w:jc w:val="both"/>
        <w:rPr>
          <w:color w:val="auto"/>
          <w:sz w:val="20"/>
          <w:szCs w:val="20"/>
        </w:rPr>
      </w:pPr>
      <w:r w:rsidRPr="00CD5A46">
        <w:rPr>
          <w:b/>
          <w:color w:val="auto"/>
          <w:sz w:val="20"/>
          <w:szCs w:val="20"/>
        </w:rPr>
        <w:t>Quorum</w:t>
      </w:r>
      <w:r w:rsidRPr="00CD5A46">
        <w:rPr>
          <w:color w:val="auto"/>
          <w:sz w:val="20"/>
          <w:szCs w:val="20"/>
        </w:rPr>
        <w:t xml:space="preserve">: Two thirds of the Signatories </w:t>
      </w:r>
      <w:r w:rsidR="008D538D" w:rsidRPr="00CD5A46">
        <w:rPr>
          <w:color w:val="auto"/>
          <w:sz w:val="20"/>
          <w:szCs w:val="20"/>
        </w:rPr>
        <w:t xml:space="preserve">who requested to be on the </w:t>
      </w:r>
      <w:r w:rsidR="00304BF5" w:rsidRPr="00CD5A46">
        <w:rPr>
          <w:color w:val="auto"/>
          <w:sz w:val="20"/>
          <w:szCs w:val="20"/>
        </w:rPr>
        <w:t>Steering Committee</w:t>
      </w:r>
      <w:r w:rsidR="00A35C3D" w:rsidRPr="00CD5A46">
        <w:rPr>
          <w:color w:val="auto"/>
          <w:sz w:val="20"/>
          <w:szCs w:val="20"/>
        </w:rPr>
        <w:t xml:space="preserve"> </w:t>
      </w:r>
      <w:r w:rsidRPr="00CD5A46">
        <w:rPr>
          <w:color w:val="auto"/>
          <w:sz w:val="20"/>
          <w:szCs w:val="20"/>
        </w:rPr>
        <w:t>being present at a meeting</w:t>
      </w:r>
      <w:r w:rsidR="008D538D" w:rsidRPr="00CD5A46">
        <w:rPr>
          <w:color w:val="auto"/>
          <w:sz w:val="20"/>
          <w:szCs w:val="20"/>
        </w:rPr>
        <w:t>.</w:t>
      </w:r>
    </w:p>
    <w:p w14:paraId="144A4E8C" w14:textId="77777777" w:rsidR="008011E3" w:rsidRPr="00CD5A46" w:rsidRDefault="008011E3" w:rsidP="008818E0">
      <w:pPr>
        <w:pStyle w:val="Default"/>
        <w:contextualSpacing/>
        <w:jc w:val="both"/>
        <w:rPr>
          <w:color w:val="auto"/>
          <w:sz w:val="20"/>
          <w:szCs w:val="20"/>
        </w:rPr>
      </w:pPr>
    </w:p>
    <w:p w14:paraId="01B41E90" w14:textId="77777777" w:rsidR="00A35C3D" w:rsidRPr="00CD5A46" w:rsidRDefault="008011E3" w:rsidP="008818E0">
      <w:pPr>
        <w:pStyle w:val="Default"/>
        <w:numPr>
          <w:ilvl w:val="0"/>
          <w:numId w:val="20"/>
        </w:numPr>
        <w:contextualSpacing/>
        <w:jc w:val="both"/>
        <w:rPr>
          <w:color w:val="auto"/>
          <w:sz w:val="20"/>
          <w:szCs w:val="20"/>
        </w:rPr>
      </w:pPr>
      <w:r w:rsidRPr="00CD5A46">
        <w:rPr>
          <w:b/>
          <w:color w:val="auto"/>
          <w:sz w:val="20"/>
          <w:szCs w:val="20"/>
        </w:rPr>
        <w:t>Consultation Forum</w:t>
      </w:r>
      <w:r w:rsidRPr="00CD5A46">
        <w:rPr>
          <w:color w:val="auto"/>
          <w:sz w:val="20"/>
          <w:szCs w:val="20"/>
        </w:rPr>
        <w:t>: as defined by Article 18 of the 2009/125/EC Directive, and 2008/591/EC Commission Decision, the assembly ensuring a balanced participation of Member States’ representatives and all interested parties concerned with the product or product group in question</w:t>
      </w:r>
    </w:p>
    <w:p w14:paraId="76053BA6" w14:textId="77777777" w:rsidR="004846DF" w:rsidRPr="00CD5A46" w:rsidRDefault="004846DF" w:rsidP="008818E0">
      <w:pPr>
        <w:pStyle w:val="Default"/>
        <w:contextualSpacing/>
        <w:jc w:val="both"/>
        <w:rPr>
          <w:color w:val="auto"/>
        </w:rPr>
      </w:pPr>
    </w:p>
    <w:p w14:paraId="41CE3822" w14:textId="20D4FDEC" w:rsidR="004846DF" w:rsidRPr="00CD5A46" w:rsidRDefault="004846DF" w:rsidP="008818E0">
      <w:pPr>
        <w:pStyle w:val="Default"/>
        <w:numPr>
          <w:ilvl w:val="0"/>
          <w:numId w:val="20"/>
        </w:numPr>
        <w:contextualSpacing/>
        <w:jc w:val="both"/>
        <w:rPr>
          <w:color w:val="auto"/>
          <w:sz w:val="20"/>
          <w:szCs w:val="20"/>
        </w:rPr>
      </w:pPr>
      <w:r w:rsidRPr="00CD5A46">
        <w:rPr>
          <w:b/>
          <w:color w:val="auto"/>
          <w:sz w:val="20"/>
          <w:szCs w:val="20"/>
        </w:rPr>
        <w:t>Steering Committee:</w:t>
      </w:r>
      <w:r w:rsidRPr="00CD5A46">
        <w:rPr>
          <w:color w:val="auto"/>
          <w:sz w:val="20"/>
          <w:szCs w:val="20"/>
        </w:rPr>
        <w:t xml:space="preserve"> The co-ordinating and governing body of this </w:t>
      </w:r>
      <w:r w:rsidR="009412E0" w:rsidRPr="00CD5A46">
        <w:rPr>
          <w:color w:val="auto"/>
          <w:sz w:val="20"/>
          <w:szCs w:val="20"/>
        </w:rPr>
        <w:t xml:space="preserve">Voluntary </w:t>
      </w:r>
      <w:r w:rsidR="00FA3A26" w:rsidRPr="00CD5A46">
        <w:rPr>
          <w:color w:val="auto"/>
          <w:sz w:val="20"/>
          <w:szCs w:val="20"/>
        </w:rPr>
        <w:t>Agreement</w:t>
      </w:r>
      <w:r w:rsidRPr="00CD5A46">
        <w:rPr>
          <w:color w:val="auto"/>
          <w:sz w:val="20"/>
          <w:szCs w:val="20"/>
        </w:rPr>
        <w:t>, appointed in</w:t>
      </w:r>
      <w:r w:rsidR="008D538D" w:rsidRPr="00CD5A46">
        <w:rPr>
          <w:color w:val="auto"/>
          <w:sz w:val="20"/>
          <w:szCs w:val="20"/>
        </w:rPr>
        <w:t xml:space="preserve"> </w:t>
      </w:r>
      <w:r w:rsidRPr="00CD5A46">
        <w:rPr>
          <w:color w:val="auto"/>
          <w:sz w:val="20"/>
          <w:szCs w:val="20"/>
        </w:rPr>
        <w:t>accordance with the principles set out in Section</w:t>
      </w:r>
      <w:r w:rsidR="00CA2FFD">
        <w:rPr>
          <w:color w:val="auto"/>
          <w:sz w:val="20"/>
          <w:szCs w:val="20"/>
        </w:rPr>
        <w:t>10</w:t>
      </w:r>
      <w:r w:rsidR="004D24D5" w:rsidRPr="00CD5A46">
        <w:t>.</w:t>
      </w:r>
      <w:r w:rsidRPr="00CD5A46">
        <w:rPr>
          <w:color w:val="auto"/>
          <w:sz w:val="20"/>
          <w:szCs w:val="20"/>
        </w:rPr>
        <w:t xml:space="preserve"> </w:t>
      </w:r>
    </w:p>
    <w:p w14:paraId="1F4C3F41" w14:textId="77777777" w:rsidR="006514EB" w:rsidRPr="00CD5A46" w:rsidRDefault="006514EB" w:rsidP="008818E0">
      <w:pPr>
        <w:pStyle w:val="Default"/>
        <w:contextualSpacing/>
        <w:jc w:val="both"/>
        <w:rPr>
          <w:color w:val="auto"/>
          <w:sz w:val="20"/>
          <w:szCs w:val="20"/>
        </w:rPr>
      </w:pPr>
    </w:p>
    <w:p w14:paraId="4B235E5B" w14:textId="406DC817" w:rsidR="006514EB" w:rsidRPr="00CD5A46" w:rsidRDefault="006514EB" w:rsidP="008818E0">
      <w:pPr>
        <w:pStyle w:val="Default"/>
        <w:numPr>
          <w:ilvl w:val="0"/>
          <w:numId w:val="20"/>
        </w:numPr>
        <w:contextualSpacing/>
        <w:jc w:val="both"/>
        <w:rPr>
          <w:color w:val="auto"/>
          <w:sz w:val="20"/>
          <w:szCs w:val="20"/>
        </w:rPr>
      </w:pPr>
      <w:r w:rsidRPr="00CD5A46">
        <w:rPr>
          <w:b/>
          <w:color w:val="auto"/>
          <w:sz w:val="20"/>
          <w:szCs w:val="20"/>
        </w:rPr>
        <w:t>Compliance period:</w:t>
      </w:r>
      <w:r w:rsidRPr="00CD5A46">
        <w:rPr>
          <w:color w:val="auto"/>
          <w:sz w:val="20"/>
          <w:szCs w:val="20"/>
        </w:rPr>
        <w:t xml:space="preserve"> </w:t>
      </w:r>
      <w:r w:rsidR="008038DD">
        <w:rPr>
          <w:color w:val="auto"/>
          <w:sz w:val="20"/>
          <w:szCs w:val="20"/>
        </w:rPr>
        <w:t>T</w:t>
      </w:r>
      <w:r w:rsidR="008038DD" w:rsidRPr="00CD5A46">
        <w:rPr>
          <w:color w:val="auto"/>
          <w:sz w:val="20"/>
          <w:szCs w:val="20"/>
        </w:rPr>
        <w:t xml:space="preserve">he </w:t>
      </w:r>
      <w:r w:rsidRPr="00CD5A46">
        <w:rPr>
          <w:color w:val="auto"/>
          <w:sz w:val="20"/>
          <w:szCs w:val="20"/>
        </w:rPr>
        <w:t xml:space="preserve">period over which companies measure their performance against the </w:t>
      </w:r>
      <w:r w:rsidR="009412E0" w:rsidRPr="00CD5A46">
        <w:rPr>
          <w:color w:val="auto"/>
          <w:sz w:val="20"/>
          <w:szCs w:val="20"/>
        </w:rPr>
        <w:t>C</w:t>
      </w:r>
      <w:r w:rsidRPr="00CD5A46">
        <w:rPr>
          <w:color w:val="auto"/>
          <w:sz w:val="20"/>
          <w:szCs w:val="20"/>
        </w:rPr>
        <w:t>ommitments of the Voluntary Agreement</w:t>
      </w:r>
      <w:r w:rsidR="004D24D5" w:rsidRPr="00CD5A46">
        <w:rPr>
          <w:color w:val="auto"/>
          <w:sz w:val="20"/>
          <w:szCs w:val="20"/>
        </w:rPr>
        <w:t>.</w:t>
      </w:r>
    </w:p>
    <w:p w14:paraId="26E79650" w14:textId="77777777" w:rsidR="0053552A" w:rsidRPr="00CD5A46" w:rsidRDefault="0053552A" w:rsidP="008818E0">
      <w:pPr>
        <w:ind w:left="360"/>
        <w:contextualSpacing/>
        <w:jc w:val="both"/>
      </w:pPr>
    </w:p>
    <w:p w14:paraId="1D7E38F5" w14:textId="4D156A0D" w:rsidR="00BD6542" w:rsidRPr="00CD5A46" w:rsidRDefault="00BD6542" w:rsidP="008818E0">
      <w:pPr>
        <w:numPr>
          <w:ilvl w:val="0"/>
          <w:numId w:val="20"/>
        </w:numPr>
        <w:contextualSpacing/>
        <w:jc w:val="both"/>
      </w:pPr>
      <w:r w:rsidRPr="00CD5A46">
        <w:rPr>
          <w:b/>
        </w:rPr>
        <w:t>Placing on market</w:t>
      </w:r>
      <w:r w:rsidRPr="00CD5A46">
        <w:t xml:space="preserve">: </w:t>
      </w:r>
      <w:r w:rsidR="008038DD">
        <w:t>T</w:t>
      </w:r>
      <w:r w:rsidR="008038DD" w:rsidRPr="00CD5A46">
        <w:t xml:space="preserve">he </w:t>
      </w:r>
      <w:r w:rsidR="00304BF5" w:rsidRPr="00CD5A46">
        <w:t>act of</w:t>
      </w:r>
      <w:r w:rsidRPr="00CD5A46">
        <w:t xml:space="preserve"> making a product</w:t>
      </w:r>
      <w:r w:rsidR="006649AC">
        <w:t>/model</w:t>
      </w:r>
      <w:r w:rsidRPr="00CD5A46">
        <w:t xml:space="preserve"> available for the first time on the Community market with a view to its distribution or use within the Community whether for reward or free of charge and irrespective of the selling technique. Guidance on this definition is available in the Guide to the Implementation of Directives Based on New Approach and Global Approach.</w:t>
      </w:r>
      <w:r w:rsidR="008C003F" w:rsidRPr="00CD5A46">
        <w:t xml:space="preserve"> </w:t>
      </w:r>
      <w:hyperlink r:id="rId9" w:anchor="h2-3" w:history="1">
        <w:r w:rsidR="007565D5" w:rsidRPr="001E38C6">
          <w:rPr>
            <w:rStyle w:val="Hyperlink"/>
            <w:highlight w:val="yellow"/>
          </w:rPr>
          <w:t>http://ec.europa.eu/enterprise/policies/single-market-goods/documents/internal-market-for-products/new-legislative-framework/index_en.htm#h2-3</w:t>
        </w:r>
      </w:hyperlink>
    </w:p>
    <w:p w14:paraId="0E5BC3D5" w14:textId="77777777" w:rsidR="00D66F03" w:rsidRPr="00CD5A46" w:rsidRDefault="00D66F03" w:rsidP="008818E0">
      <w:pPr>
        <w:contextualSpacing/>
        <w:jc w:val="both"/>
      </w:pPr>
    </w:p>
    <w:p w14:paraId="71747806" w14:textId="77777777" w:rsidR="00204132" w:rsidRPr="00CD5A46" w:rsidRDefault="00204132" w:rsidP="008818E0">
      <w:pPr>
        <w:numPr>
          <w:ilvl w:val="0"/>
          <w:numId w:val="20"/>
        </w:numPr>
        <w:contextualSpacing/>
        <w:jc w:val="both"/>
      </w:pPr>
      <w:r w:rsidRPr="00CD5A46">
        <w:rPr>
          <w:b/>
        </w:rPr>
        <w:t xml:space="preserve">End-user: </w:t>
      </w:r>
      <w:r w:rsidRPr="00CD5A46">
        <w:t xml:space="preserve">A person who uses the imaging equipment for one of its main functions (e.g. printing, scanning, copying). </w:t>
      </w:r>
      <w:r w:rsidR="0073701D" w:rsidRPr="00CD5A46">
        <w:t xml:space="preserve">The end-user has control over the environmental impact of the product by choosing the type and weight of paper and by using duplex and/or n-up printing. Further, the end-user can be expected to </w:t>
      </w:r>
      <w:r w:rsidR="008A0546" w:rsidRPr="00CD5A46">
        <w:t>exchange</w:t>
      </w:r>
      <w:r w:rsidR="0073701D" w:rsidRPr="00CD5A46">
        <w:t xml:space="preserve"> consumables e.g. cartridges.</w:t>
      </w:r>
    </w:p>
    <w:p w14:paraId="1C2D807C" w14:textId="77777777" w:rsidR="00204132" w:rsidRPr="00CD5A46" w:rsidRDefault="00204132" w:rsidP="008818E0">
      <w:pPr>
        <w:ind w:left="360"/>
        <w:contextualSpacing/>
        <w:jc w:val="both"/>
      </w:pPr>
    </w:p>
    <w:p w14:paraId="18A6C3BB" w14:textId="18D164D4" w:rsidR="00204132" w:rsidRPr="00CD5A46" w:rsidRDefault="00204132" w:rsidP="008818E0">
      <w:pPr>
        <w:numPr>
          <w:ilvl w:val="0"/>
          <w:numId w:val="20"/>
        </w:numPr>
        <w:contextualSpacing/>
        <w:jc w:val="both"/>
      </w:pPr>
      <w:r w:rsidRPr="00CD5A46">
        <w:rPr>
          <w:b/>
        </w:rPr>
        <w:t>Customer</w:t>
      </w:r>
      <w:r w:rsidR="00A6514F" w:rsidRPr="009664EF">
        <w:rPr>
          <w:b/>
          <w:highlight w:val="yellow"/>
        </w:rPr>
        <w:t>/purchaser</w:t>
      </w:r>
      <w:r w:rsidRPr="00CD5A46">
        <w:rPr>
          <w:b/>
        </w:rPr>
        <w:t>:</w:t>
      </w:r>
      <w:r w:rsidR="0073701D" w:rsidRPr="00CD5A46">
        <w:t xml:space="preserve"> A person or legal entity who takes purchasing decisions for the products covered in this </w:t>
      </w:r>
      <w:r w:rsidR="004D24D5" w:rsidRPr="00CD5A46">
        <w:t>V</w:t>
      </w:r>
      <w:r w:rsidR="0073701D" w:rsidRPr="00CD5A46">
        <w:t xml:space="preserve">oluntary </w:t>
      </w:r>
      <w:r w:rsidR="004D24D5" w:rsidRPr="00CD5A46">
        <w:t>A</w:t>
      </w:r>
      <w:r w:rsidR="0073701D" w:rsidRPr="00CD5A46">
        <w:t>greement.</w:t>
      </w:r>
    </w:p>
    <w:p w14:paraId="50AF96A1" w14:textId="77777777" w:rsidR="005E30AA" w:rsidRPr="00CD5A46" w:rsidRDefault="005E30AA" w:rsidP="008818E0">
      <w:pPr>
        <w:ind w:left="360"/>
        <w:contextualSpacing/>
        <w:jc w:val="both"/>
        <w:rPr>
          <w:b/>
        </w:rPr>
      </w:pPr>
    </w:p>
    <w:p w14:paraId="7B327314" w14:textId="3EACB5C2" w:rsidR="00AE6AFE" w:rsidRPr="00CD5A46" w:rsidRDefault="00AE6AFE" w:rsidP="008818E0">
      <w:pPr>
        <w:numPr>
          <w:ilvl w:val="0"/>
          <w:numId w:val="20"/>
        </w:numPr>
        <w:contextualSpacing/>
        <w:jc w:val="both"/>
        <w:rPr>
          <w:b/>
        </w:rPr>
      </w:pPr>
      <w:r w:rsidRPr="00CD5A46">
        <w:rPr>
          <w:b/>
        </w:rPr>
        <w:t>TEC: Typical Electricity Consumption</w:t>
      </w:r>
      <w:r w:rsidRPr="00CD5A46">
        <w:t xml:space="preserve"> method for the Version 1.1 </w:t>
      </w:r>
      <w:r w:rsidR="00EB1250" w:rsidRPr="00CD5A46">
        <w:t>ENERGY STAR</w:t>
      </w:r>
      <w:r w:rsidR="007B2D37">
        <w:t xml:space="preserve"> ® </w:t>
      </w:r>
      <w:r w:rsidRPr="00CD5A46">
        <w:t xml:space="preserve">Imaging Equipment (IE) specification. The procedure is to be used to obtain and evaluate the TEC of Standard-size IE products such as copiers, digital duplicators, fax machines, multifunction devices (MFDs), and printers that use high-temperature technologies such as Electrophotography (EP) and Solid Ink (SI), and those that provide comparable functionality. It is not intended for low-temperature technologies such as conventional Ink Jet (IJ) or Impact, </w:t>
      </w:r>
      <w:r w:rsidRPr="00CD5A46">
        <w:lastRenderedPageBreak/>
        <w:t>nor for Large</w:t>
      </w:r>
      <w:r w:rsidR="008C003F" w:rsidRPr="00CD5A46">
        <w:t>-</w:t>
      </w:r>
      <w:r w:rsidRPr="00CD5A46">
        <w:t>format or Small-format products. The key result of this test procedure is a value for typical weekly electricity consumption.</w:t>
      </w:r>
    </w:p>
    <w:p w14:paraId="5975C93D" w14:textId="77777777" w:rsidR="00AE6AFE" w:rsidRPr="00CD5A46" w:rsidRDefault="00AE6AFE" w:rsidP="008818E0">
      <w:pPr>
        <w:contextualSpacing/>
        <w:jc w:val="both"/>
      </w:pPr>
    </w:p>
    <w:p w14:paraId="16B6167C" w14:textId="5D5A9F3C" w:rsidR="00AE6AFE" w:rsidRPr="00CD5A46" w:rsidRDefault="00AE6AFE" w:rsidP="008818E0">
      <w:pPr>
        <w:numPr>
          <w:ilvl w:val="0"/>
          <w:numId w:val="20"/>
        </w:numPr>
        <w:contextualSpacing/>
        <w:jc w:val="both"/>
      </w:pPr>
      <w:r w:rsidRPr="00CD5A46">
        <w:rPr>
          <w:b/>
        </w:rPr>
        <w:t>OM</w:t>
      </w:r>
      <w:r w:rsidRPr="00CD5A46">
        <w:t xml:space="preserve">: </w:t>
      </w:r>
      <w:r w:rsidRPr="00CD5A46">
        <w:rPr>
          <w:rFonts w:eastAsia="Times New Roman"/>
          <w:b/>
          <w:bCs/>
          <w:iCs/>
          <w:lang w:eastAsia="fr-FR"/>
        </w:rPr>
        <w:t xml:space="preserve">Operational Mode: </w:t>
      </w:r>
      <w:r w:rsidR="00EB1250" w:rsidRPr="00CD5A46">
        <w:rPr>
          <w:rFonts w:eastAsia="Times New Roman"/>
          <w:iCs/>
          <w:lang w:eastAsia="fr-FR"/>
        </w:rPr>
        <w:t>ENERGY STAR</w:t>
      </w:r>
      <w:r w:rsidR="00F04F20">
        <w:rPr>
          <w:rFonts w:eastAsia="Times New Roman"/>
          <w:iCs/>
          <w:lang w:eastAsia="fr-FR"/>
        </w:rPr>
        <w:t xml:space="preserve"> ®</w:t>
      </w:r>
      <w:r w:rsidRPr="00CD5A46">
        <w:rPr>
          <w:rFonts w:eastAsia="Times New Roman"/>
          <w:iCs/>
          <w:lang w:eastAsia="fr-FR"/>
        </w:rPr>
        <w:t xml:space="preserve"> Imaging Equipment (IE) specification. The procedure is to be used to quantify the power consumption of imaging products that do not utilize the Typical Electricity Consumption (TEC) method. Examples of products that will be tested with this OM method include those that use marking technologies such as Ink Jet, Dot Matrix or Impact, as well as scanners and all large-format and small-format devices. The key results of this test procedure are power values for Ready, Sleep, and </w:t>
      </w:r>
      <w:proofErr w:type="gramStart"/>
      <w:r w:rsidRPr="00CD5A46">
        <w:rPr>
          <w:rFonts w:eastAsia="Times New Roman"/>
          <w:iCs/>
          <w:lang w:eastAsia="fr-FR"/>
        </w:rPr>
        <w:t>Off</w:t>
      </w:r>
      <w:proofErr w:type="gramEnd"/>
      <w:r w:rsidRPr="00CD5A46">
        <w:rPr>
          <w:rFonts w:eastAsia="Times New Roman"/>
          <w:iCs/>
          <w:lang w:eastAsia="fr-FR"/>
        </w:rPr>
        <w:t xml:space="preserve"> modes.</w:t>
      </w:r>
    </w:p>
    <w:p w14:paraId="6289470C" w14:textId="77777777" w:rsidR="005E30AA" w:rsidRPr="00CD5A46" w:rsidRDefault="005E30AA" w:rsidP="008818E0">
      <w:pPr>
        <w:contextualSpacing/>
        <w:jc w:val="both"/>
      </w:pPr>
    </w:p>
    <w:p w14:paraId="47777372" w14:textId="77777777" w:rsidR="005E30AA" w:rsidRPr="00CD5A46" w:rsidRDefault="005E30AA" w:rsidP="008818E0">
      <w:pPr>
        <w:ind w:left="360"/>
        <w:contextualSpacing/>
        <w:jc w:val="both"/>
      </w:pPr>
    </w:p>
    <w:p w14:paraId="4C94BF52" w14:textId="77777777" w:rsidR="008A0546" w:rsidRDefault="005E30AA" w:rsidP="008818E0">
      <w:pPr>
        <w:numPr>
          <w:ilvl w:val="0"/>
          <w:numId w:val="20"/>
        </w:numPr>
        <w:contextualSpacing/>
        <w:jc w:val="both"/>
      </w:pPr>
      <w:r w:rsidRPr="00CD5A46">
        <w:rPr>
          <w:b/>
        </w:rPr>
        <w:t xml:space="preserve">Standard </w:t>
      </w:r>
      <w:r w:rsidR="0058056E" w:rsidRPr="00CD5A46">
        <w:rPr>
          <w:b/>
        </w:rPr>
        <w:t>Size Format Product:</w:t>
      </w:r>
      <w:r w:rsidRPr="00CD5A46">
        <w:rPr>
          <w:b/>
        </w:rPr>
        <w:t xml:space="preserve"> </w:t>
      </w:r>
      <w:r w:rsidRPr="00CD5A46">
        <w:t>Products categorized as Standard include those designed for standard-sized media (e.g., Letter, Legal, Ledger, A3, A4, and B4), including those designed to accommodate continuous-form media at widths between 210 mm and 406 mm. Standard-size products may also be capable of printing on small-format media.</w:t>
      </w:r>
    </w:p>
    <w:p w14:paraId="017C7DA4" w14:textId="77777777" w:rsidR="00A341A6" w:rsidRPr="00CD5A46" w:rsidRDefault="00A341A6" w:rsidP="008818E0">
      <w:pPr>
        <w:contextualSpacing/>
        <w:jc w:val="both"/>
      </w:pPr>
    </w:p>
    <w:p w14:paraId="1FECAFAE" w14:textId="77777777" w:rsidR="008A0546" w:rsidRPr="00CD5A46" w:rsidRDefault="003677F5" w:rsidP="008818E0">
      <w:pPr>
        <w:numPr>
          <w:ilvl w:val="0"/>
          <w:numId w:val="20"/>
        </w:numPr>
        <w:contextualSpacing/>
        <w:jc w:val="both"/>
      </w:pPr>
      <w:r w:rsidRPr="00CD5A46">
        <w:rPr>
          <w:b/>
        </w:rPr>
        <w:t>Commonly available tools:</w:t>
      </w:r>
      <w:r w:rsidR="00073090" w:rsidRPr="00CD5A46">
        <w:t xml:space="preserve"> </w:t>
      </w:r>
      <w:r w:rsidRPr="00CD5A46">
        <w:t>Widely used, commercially available tools.</w:t>
      </w:r>
    </w:p>
    <w:p w14:paraId="561C7B68" w14:textId="77777777" w:rsidR="00514E96" w:rsidRPr="00CD5A46" w:rsidRDefault="00514E96" w:rsidP="008818E0">
      <w:pPr>
        <w:ind w:left="360"/>
        <w:contextualSpacing/>
        <w:jc w:val="both"/>
      </w:pPr>
    </w:p>
    <w:p w14:paraId="1DB717EB" w14:textId="77777777" w:rsidR="00593794" w:rsidRDefault="00593794" w:rsidP="008818E0">
      <w:pPr>
        <w:numPr>
          <w:ilvl w:val="0"/>
          <w:numId w:val="20"/>
        </w:numPr>
        <w:autoSpaceDE w:val="0"/>
        <w:autoSpaceDN w:val="0"/>
        <w:adjustRightInd w:val="0"/>
        <w:contextualSpacing/>
        <w:jc w:val="both"/>
        <w:rPr>
          <w:rFonts w:eastAsia="Times New Roman"/>
          <w:color w:val="000000"/>
          <w:lang w:eastAsia="fr-FR"/>
        </w:rPr>
      </w:pPr>
      <w:r w:rsidRPr="008038DD">
        <w:rPr>
          <w:rFonts w:eastAsia="Times New Roman"/>
          <w:b/>
          <w:bCs/>
          <w:color w:val="000000"/>
          <w:lang w:eastAsia="fr-FR"/>
        </w:rPr>
        <w:t>Non-OEM Cartridge:</w:t>
      </w:r>
      <w:r w:rsidR="00073090" w:rsidRPr="008038DD">
        <w:rPr>
          <w:rFonts w:eastAsia="Times New Roman"/>
          <w:color w:val="000000"/>
          <w:lang w:eastAsia="fr-FR"/>
        </w:rPr>
        <w:t xml:space="preserve"> </w:t>
      </w:r>
      <w:r w:rsidRPr="008038DD">
        <w:rPr>
          <w:rFonts w:eastAsia="Times New Roman"/>
          <w:color w:val="000000"/>
          <w:lang w:eastAsia="fr-FR"/>
        </w:rPr>
        <w:t>A toner or ink cartridge not sold by the OEM that is remanufactured and/or refilled.</w:t>
      </w:r>
      <w:r w:rsidR="00073090" w:rsidRPr="008038DD">
        <w:rPr>
          <w:rFonts w:eastAsia="Times New Roman"/>
          <w:color w:val="000000"/>
          <w:lang w:eastAsia="fr-FR"/>
        </w:rPr>
        <w:t xml:space="preserve"> </w:t>
      </w:r>
    </w:p>
    <w:p w14:paraId="1C1E679D" w14:textId="77777777" w:rsidR="00325648" w:rsidRDefault="00325648" w:rsidP="008818E0">
      <w:pPr>
        <w:pStyle w:val="ListParagraph"/>
        <w:jc w:val="both"/>
        <w:rPr>
          <w:rFonts w:eastAsia="Times New Roman"/>
          <w:color w:val="000000"/>
          <w:lang w:eastAsia="fr-FR"/>
        </w:rPr>
      </w:pPr>
    </w:p>
    <w:p w14:paraId="4831F507" w14:textId="7BF3A8EB" w:rsidR="00325648" w:rsidRPr="00325648" w:rsidRDefault="00325648" w:rsidP="008818E0">
      <w:pPr>
        <w:pStyle w:val="ListParagraph"/>
        <w:numPr>
          <w:ilvl w:val="0"/>
          <w:numId w:val="20"/>
        </w:numPr>
        <w:jc w:val="both"/>
        <w:rPr>
          <w:rFonts w:ascii="Arial" w:eastAsia="Times New Roman" w:hAnsi="Arial" w:cs="Arial"/>
          <w:color w:val="000000"/>
          <w:sz w:val="20"/>
          <w:szCs w:val="20"/>
          <w:highlight w:val="yellow"/>
          <w:lang w:eastAsia="fr-FR"/>
        </w:rPr>
      </w:pPr>
      <w:r w:rsidRPr="00325648">
        <w:rPr>
          <w:rFonts w:ascii="Arial" w:eastAsia="Times New Roman" w:hAnsi="Arial" w:cs="Arial"/>
          <w:color w:val="000000"/>
          <w:sz w:val="20"/>
          <w:szCs w:val="20"/>
          <w:highlight w:val="yellow"/>
          <w:lang w:eastAsia="fr-FR"/>
        </w:rPr>
        <w:t>A model is considered qualified for the Voluntary Agreement when it</w:t>
      </w:r>
      <w:r w:rsidR="00672F61">
        <w:rPr>
          <w:rFonts w:ascii="Arial" w:eastAsia="Times New Roman" w:hAnsi="Arial" w:cs="Arial"/>
          <w:color w:val="000000"/>
          <w:sz w:val="20"/>
          <w:szCs w:val="20"/>
          <w:highlight w:val="yellow"/>
          <w:lang w:eastAsia="fr-FR"/>
        </w:rPr>
        <w:t xml:space="preserve"> i</w:t>
      </w:r>
      <w:r w:rsidRPr="00325648">
        <w:rPr>
          <w:rFonts w:ascii="Arial" w:eastAsia="Times New Roman" w:hAnsi="Arial" w:cs="Arial"/>
          <w:color w:val="000000"/>
          <w:sz w:val="20"/>
          <w:szCs w:val="20"/>
          <w:highlight w:val="yellow"/>
          <w:lang w:eastAsia="fr-FR"/>
        </w:rPr>
        <w:t>s in scope and meets all the requirements as detailed in sections 4</w:t>
      </w:r>
      <w:r w:rsidR="00BD3AB4">
        <w:rPr>
          <w:rFonts w:ascii="Arial" w:eastAsia="Times New Roman" w:hAnsi="Arial" w:cs="Arial"/>
          <w:color w:val="000000"/>
          <w:sz w:val="20"/>
          <w:szCs w:val="20"/>
          <w:highlight w:val="yellow"/>
          <w:lang w:eastAsia="fr-FR"/>
        </w:rPr>
        <w:t>,</w:t>
      </w:r>
      <w:r w:rsidRPr="00325648">
        <w:rPr>
          <w:rFonts w:ascii="Arial" w:eastAsia="Times New Roman" w:hAnsi="Arial" w:cs="Arial"/>
          <w:color w:val="000000"/>
          <w:sz w:val="20"/>
          <w:szCs w:val="20"/>
          <w:highlight w:val="yellow"/>
          <w:lang w:eastAsia="fr-FR"/>
        </w:rPr>
        <w:t xml:space="preserve"> 5 and 6. </w:t>
      </w:r>
    </w:p>
    <w:p w14:paraId="58966145" w14:textId="77777777" w:rsidR="00325648" w:rsidRPr="008038DD" w:rsidRDefault="00325648" w:rsidP="008818E0">
      <w:pPr>
        <w:autoSpaceDE w:val="0"/>
        <w:autoSpaceDN w:val="0"/>
        <w:adjustRightInd w:val="0"/>
        <w:ind w:left="720"/>
        <w:contextualSpacing/>
        <w:jc w:val="both"/>
        <w:rPr>
          <w:rFonts w:eastAsia="Times New Roman"/>
          <w:color w:val="000000"/>
          <w:lang w:eastAsia="fr-FR"/>
        </w:rPr>
      </w:pPr>
    </w:p>
    <w:p w14:paraId="141D46F9" w14:textId="77777777" w:rsidR="00AE6AFE" w:rsidRPr="00CD5A46" w:rsidRDefault="00AE6AFE" w:rsidP="008818E0">
      <w:pPr>
        <w:pStyle w:val="ListParagraph"/>
        <w:numPr>
          <w:ilvl w:val="0"/>
          <w:numId w:val="20"/>
        </w:numPr>
        <w:jc w:val="both"/>
      </w:pPr>
      <w:r w:rsidRPr="00CD5A46">
        <w:br w:type="page"/>
      </w:r>
    </w:p>
    <w:p w14:paraId="1E12A2BD" w14:textId="77777777" w:rsidR="00915B9C" w:rsidRDefault="00915B9C" w:rsidP="008818E0">
      <w:pPr>
        <w:contextualSpacing/>
        <w:jc w:val="both"/>
        <w:rPr>
          <w:rStyle w:val="Heading1Char"/>
        </w:rPr>
      </w:pPr>
      <w:bookmarkStart w:id="236" w:name="_Toc375572571"/>
      <w:r w:rsidRPr="00CD5A46">
        <w:rPr>
          <w:rStyle w:val="Heading1Char"/>
        </w:rPr>
        <w:lastRenderedPageBreak/>
        <w:t>Annex B: Calculating the compliance rate</w:t>
      </w:r>
      <w:bookmarkEnd w:id="236"/>
    </w:p>
    <w:p w14:paraId="4BF9DEA3" w14:textId="77777777" w:rsidR="00915B9C" w:rsidRPr="00CD5A46" w:rsidRDefault="00915B9C" w:rsidP="008818E0">
      <w:pPr>
        <w:contextualSpacing/>
        <w:jc w:val="both"/>
        <w:rPr>
          <w:b/>
          <w:bCs/>
          <w:kern w:val="32"/>
        </w:rPr>
      </w:pPr>
    </w:p>
    <w:p w14:paraId="4BDEF2F9" w14:textId="77777777" w:rsidR="00915B9C" w:rsidRPr="00CD5A46" w:rsidRDefault="00915B9C" w:rsidP="008818E0">
      <w:pPr>
        <w:contextualSpacing/>
        <w:jc w:val="both"/>
      </w:pPr>
      <w:r w:rsidRPr="00CD5A46">
        <w:t xml:space="preserve">The compliance rate is the percentage of </w:t>
      </w:r>
      <w:r>
        <w:t>Part I qualified</w:t>
      </w:r>
      <w:r w:rsidRPr="00CD5A46">
        <w:t xml:space="preserve"> units in scope and placed on the market in relation to the total number of units in scope and placed on the market. A model is considered </w:t>
      </w:r>
      <w:r>
        <w:t>Part I qualified</w:t>
      </w:r>
      <w:r w:rsidRPr="00CD5A46">
        <w:t xml:space="preserve"> when it meets all the requirements as detailed in section </w:t>
      </w:r>
      <w:r>
        <w:fldChar w:fldCharType="begin"/>
      </w:r>
      <w:r>
        <w:instrText xml:space="preserve"> REF _Ref254010679 \r \h  \* MERGEFORMAT </w:instrText>
      </w:r>
      <w:r>
        <w:fldChar w:fldCharType="separate"/>
      </w:r>
      <w:r w:rsidRPr="00B675AF">
        <w:t>4.1</w:t>
      </w:r>
      <w:r>
        <w:fldChar w:fldCharType="end"/>
      </w:r>
      <w:r w:rsidRPr="00CD5A46">
        <w:rPr>
          <w:i/>
        </w:rPr>
        <w:t>.</w:t>
      </w:r>
      <w:r w:rsidRPr="00CD5A46">
        <w:t xml:space="preserve"> This means that if a model doesn’t meet a requirement it will not be counted towards the company compliance rate. The compliance rate will be calculated to 2 significant figures as a sales weighted number meaning that models with high sales will weigh heavier in calculating the compliance rate than low sales models. </w:t>
      </w:r>
    </w:p>
    <w:p w14:paraId="431C198B" w14:textId="77777777" w:rsidR="00915B9C" w:rsidRPr="00CD5A46" w:rsidRDefault="00915B9C" w:rsidP="008818E0">
      <w:pPr>
        <w:contextualSpacing/>
        <w:jc w:val="both"/>
      </w:pPr>
    </w:p>
    <w:p w14:paraId="280CB03B" w14:textId="77777777" w:rsidR="00915B9C" w:rsidRPr="00CD5A46" w:rsidRDefault="00915B9C" w:rsidP="008818E0">
      <w:pPr>
        <w:contextualSpacing/>
        <w:jc w:val="both"/>
      </w:pPr>
      <w:r>
        <w:rPr>
          <w:noProof/>
          <w:lang w:val="en-US" w:eastAsia="en-US"/>
        </w:rPr>
        <mc:AlternateContent>
          <mc:Choice Requires="wps">
            <w:drawing>
              <wp:anchor distT="0" distB="0" distL="114300" distR="114300" simplePos="0" relativeHeight="251662336" behindDoc="0" locked="0" layoutInCell="1" allowOverlap="1" wp14:anchorId="7AD60854" wp14:editId="000A8ADC">
                <wp:simplePos x="0" y="0"/>
                <wp:positionH relativeFrom="column">
                  <wp:posOffset>1315720</wp:posOffset>
                </wp:positionH>
                <wp:positionV relativeFrom="paragraph">
                  <wp:posOffset>61595</wp:posOffset>
                </wp:positionV>
                <wp:extent cx="4031401" cy="45720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401"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FA5F1" w14:textId="53834A26" w:rsidR="0070729D" w:rsidRDefault="0070729D" w:rsidP="00915B9C">
                            <w:pPr>
                              <w:jc w:val="center"/>
                            </w:pPr>
                            <w:r>
                              <w:t>Part I qualified units in scope and placed on the market</w:t>
                            </w:r>
                          </w:p>
                          <w:p w14:paraId="22DDFDE5" w14:textId="77777777" w:rsidR="0070729D" w:rsidRPr="001E3D21" w:rsidRDefault="0070729D" w:rsidP="00915B9C">
                            <w:pPr>
                              <w:jc w:val="center"/>
                              <w:rPr>
                                <w:sz w:val="8"/>
                                <w:szCs w:val="8"/>
                              </w:rPr>
                            </w:pPr>
                          </w:p>
                          <w:p w14:paraId="396210E2" w14:textId="77777777" w:rsidR="0070729D" w:rsidRPr="001E3D21" w:rsidRDefault="0070729D" w:rsidP="00915B9C">
                            <w:pPr>
                              <w:jc w:val="center"/>
                            </w:pPr>
                            <w:r>
                              <w:t>Total units in scope and placed on the market</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3.6pt;margin-top:4.85pt;width:317.4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" stroked="f">
                <v:textbox>
                  <w:txbxContent>
                    <w:p w14:paraId="758FA5F1" w14:textId="53834A26" w:rsidR="0070729D" w:rsidRDefault="0070729D" w:rsidP="00915B9C">
                      <w:pPr>
                        <w:jc w:val="center"/>
                      </w:pPr>
                      <w:r>
                        <w:t>Part I qualified units in scope and placed on the market</w:t>
                      </w:r>
                    </w:p>
                    <w:p w14:paraId="22DDFDE5" w14:textId="77777777" w:rsidR="0070729D" w:rsidRPr="001E3D21" w:rsidRDefault="0070729D" w:rsidP="00915B9C">
                      <w:pPr>
                        <w:jc w:val="center"/>
                        <w:rPr>
                          <w:sz w:val="8"/>
                          <w:szCs w:val="8"/>
                        </w:rPr>
                      </w:pPr>
                    </w:p>
                    <w:p w14:paraId="396210E2" w14:textId="77777777" w:rsidR="0070729D" w:rsidRPr="001E3D21" w:rsidRDefault="0070729D" w:rsidP="00915B9C">
                      <w:pPr>
                        <w:jc w:val="center"/>
                      </w:pPr>
                      <w:r>
                        <w:t>Total units in scope and placed on the market</w:t>
                      </w:r>
                    </w:p>
                  </w:txbxContent>
                </v:textbox>
              </v:shape>
            </w:pict>
          </mc:Fallback>
        </mc:AlternateContent>
      </w:r>
      <w:r w:rsidRPr="00CD5A46">
        <w:t xml:space="preserve"> </w:t>
      </w:r>
    </w:p>
    <w:p w14:paraId="09D18CE5" w14:textId="77777777" w:rsidR="00915B9C" w:rsidRPr="00CD5A46" w:rsidRDefault="00915B9C" w:rsidP="008818E0">
      <w:pPr>
        <w:contextualSpacing/>
        <w:jc w:val="both"/>
      </w:pPr>
      <w:r>
        <w:rPr>
          <w:noProof/>
          <w:lang w:val="en-US" w:eastAsia="en-US"/>
        </w:rPr>
        <mc:AlternateContent>
          <mc:Choice Requires="wps">
            <w:drawing>
              <wp:anchor distT="0" distB="0" distL="114300" distR="114300" simplePos="0" relativeHeight="251663360" behindDoc="0" locked="0" layoutInCell="1" allowOverlap="1" wp14:anchorId="2F7DD5A4" wp14:editId="0979C581">
                <wp:simplePos x="0" y="0"/>
                <wp:positionH relativeFrom="column">
                  <wp:posOffset>1338614</wp:posOffset>
                </wp:positionH>
                <wp:positionV relativeFrom="paragraph">
                  <wp:posOffset>115570</wp:posOffset>
                </wp:positionV>
                <wp:extent cx="4010424" cy="7620"/>
                <wp:effectExtent l="0" t="0" r="9525" b="30480"/>
                <wp:wrapNone/>
                <wp:docPr id="7" name="Line 5"/>
                <wp:cNvGraphicFramePr/>
                <a:graphic xmlns:a="http://schemas.openxmlformats.org/drawingml/2006/main">
                  <a:graphicData uri="http://schemas.microsoft.com/office/word/2010/wordprocessingShape">
                    <wps:wsp>
                      <wps:cNvCnPr/>
                      <wps:spPr bwMode="auto">
                        <a:xfrm flipV="1">
                          <a:off x="0" y="0"/>
                          <a:ext cx="4010424"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5.4pt,9.1pt" to="421.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"/>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1F9AAD92" wp14:editId="0C018D5D">
                <wp:simplePos x="0" y="0"/>
                <wp:positionH relativeFrom="column">
                  <wp:posOffset>-111125</wp:posOffset>
                </wp:positionH>
                <wp:positionV relativeFrom="paragraph">
                  <wp:posOffset>10795</wp:posOffset>
                </wp:positionV>
                <wp:extent cx="1514475"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ACFBF" w14:textId="77777777" w:rsidR="0070729D" w:rsidRDefault="0070729D" w:rsidP="00915B9C">
                            <w:r>
                              <w:t xml:space="preserve">      Compliance rate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8" o:spid="_x0000_s1027" type="#_x0000_t202" style="position:absolute;left:0;text-align:left;margin-left:-8.75pt;margin-top:.85pt;width:119.25pt;height:1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Tktw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" filled="f" stroked="f">
                <v:textbox>
                  <w:txbxContent>
                    <w:p w14:paraId="4F0ACFBF" w14:textId="77777777" w:rsidR="0070729D" w:rsidRDefault="0070729D" w:rsidP="00915B9C">
                      <w:r>
                        <w:t xml:space="preserve">      Compliance rate =</w:t>
                      </w:r>
                    </w:p>
                  </w:txbxContent>
                </v:textbox>
              </v:shape>
            </w:pict>
          </mc:Fallback>
        </mc:AlternateContent>
      </w:r>
    </w:p>
    <w:p w14:paraId="4716EF47" w14:textId="77777777" w:rsidR="00915B9C" w:rsidRPr="00CD5A46" w:rsidRDefault="00915B9C" w:rsidP="008818E0">
      <w:pPr>
        <w:contextualSpacing/>
        <w:jc w:val="both"/>
      </w:pPr>
    </w:p>
    <w:p w14:paraId="55E65893" w14:textId="77777777" w:rsidR="00915B9C" w:rsidRPr="00CD5A46" w:rsidRDefault="00915B9C" w:rsidP="008818E0">
      <w:pPr>
        <w:contextualSpacing/>
        <w:jc w:val="both"/>
      </w:pPr>
    </w:p>
    <w:p w14:paraId="00E0DAD2" w14:textId="77777777" w:rsidR="00915B9C" w:rsidRDefault="00915B9C" w:rsidP="008818E0">
      <w:pPr>
        <w:pStyle w:val="Caption"/>
        <w:contextualSpacing/>
        <w:jc w:val="both"/>
      </w:pPr>
      <w:r w:rsidRPr="00CD5A46">
        <w:t xml:space="preserve">Table </w:t>
      </w:r>
      <w:r w:rsidRPr="00CD5A46">
        <w:fldChar w:fldCharType="begin"/>
      </w:r>
      <w:r w:rsidRPr="00CD5A46">
        <w:instrText xml:space="preserve"> SEQ Table \* ARABIC </w:instrText>
      </w:r>
      <w:r w:rsidRPr="00CD5A46">
        <w:fldChar w:fldCharType="separate"/>
      </w:r>
      <w:r>
        <w:rPr>
          <w:noProof/>
        </w:rPr>
        <w:t>1</w:t>
      </w:r>
      <w:r w:rsidRPr="00CD5A46">
        <w:fldChar w:fldCharType="end"/>
      </w:r>
      <w:r>
        <w:t xml:space="preserve"> shows a simplified example of how a Signatory must</w:t>
      </w:r>
      <w:r w:rsidRPr="00CD5A46">
        <w:t xml:space="preserve"> calculat</w:t>
      </w:r>
      <w:r>
        <w:t>e</w:t>
      </w:r>
      <w:r w:rsidRPr="00CD5A46">
        <w:t xml:space="preserve"> the compliance rate </w:t>
      </w:r>
      <w:r>
        <w:t>of shipments</w:t>
      </w:r>
      <w:r w:rsidRPr="00CD5A46">
        <w:t xml:space="preserve"> for a given period</w:t>
      </w:r>
      <w:r>
        <w:t xml:space="preserve"> </w:t>
      </w:r>
      <w:r w:rsidRPr="00564161">
        <w:rPr>
          <w:highlight w:val="yellow"/>
        </w:rPr>
        <w:t>for OM products</w:t>
      </w:r>
    </w:p>
    <w:p w14:paraId="4D374E7B" w14:textId="77777777" w:rsidR="00915B9C" w:rsidRDefault="00915B9C" w:rsidP="008818E0">
      <w:pPr>
        <w:contextualSpacing/>
        <w:jc w:val="both"/>
      </w:pPr>
    </w:p>
    <w:p w14:paraId="5DCA9442" w14:textId="77777777" w:rsidR="00915B9C" w:rsidRPr="00676DBB" w:rsidRDefault="00915B9C" w:rsidP="008818E0">
      <w:pPr>
        <w:contextualSpacing/>
        <w:jc w:val="both"/>
      </w:pPr>
      <w:r w:rsidRPr="002F652E">
        <w:rPr>
          <w:noProof/>
          <w:highlight w:val="yellow"/>
          <w:lang w:val="en-US" w:eastAsia="en-US"/>
        </w:rPr>
        <w:drawing>
          <wp:inline distT="0" distB="0" distL="0" distR="0" wp14:anchorId="3298DBAA" wp14:editId="2D2FC90C">
            <wp:extent cx="5286375" cy="2790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2790825"/>
                    </a:xfrm>
                    <a:prstGeom prst="rect">
                      <a:avLst/>
                    </a:prstGeom>
                    <a:noFill/>
                    <a:ln>
                      <a:noFill/>
                    </a:ln>
                  </pic:spPr>
                </pic:pic>
              </a:graphicData>
            </a:graphic>
          </wp:inline>
        </w:drawing>
      </w:r>
    </w:p>
    <w:p w14:paraId="3FA68989" w14:textId="5D19FCFD" w:rsidR="00631AFF" w:rsidRDefault="00631AFF" w:rsidP="008818E0">
      <w:pPr>
        <w:contextualSpacing/>
        <w:jc w:val="both"/>
        <w:rPr>
          <w:b/>
          <w:bCs/>
          <w:highlight w:val="yellow"/>
        </w:rPr>
      </w:pPr>
      <w:r>
        <w:rPr>
          <w:highlight w:val="yellow"/>
        </w:rPr>
        <w:br w:type="page"/>
      </w:r>
    </w:p>
    <w:p w14:paraId="490B6EC5" w14:textId="77777777" w:rsidR="00915B9C" w:rsidRDefault="00915B9C" w:rsidP="008818E0">
      <w:pPr>
        <w:pStyle w:val="Caption"/>
        <w:contextualSpacing/>
        <w:jc w:val="both"/>
        <w:rPr>
          <w:highlight w:val="yellow"/>
        </w:rPr>
      </w:pPr>
    </w:p>
    <w:p w14:paraId="72F71346" w14:textId="77777777" w:rsidR="00915B9C" w:rsidRDefault="00915B9C" w:rsidP="008818E0">
      <w:pPr>
        <w:pStyle w:val="Caption"/>
        <w:contextualSpacing/>
        <w:jc w:val="both"/>
      </w:pPr>
      <w:r w:rsidRPr="00B700A9">
        <w:rPr>
          <w:highlight w:val="yellow"/>
        </w:rPr>
        <w:t xml:space="preserve">Table 2 shows a simplified example of how a Signatory must calculate the compliance rate </w:t>
      </w:r>
      <w:r>
        <w:rPr>
          <w:highlight w:val="yellow"/>
        </w:rPr>
        <w:t>of shipments of TEC products</w:t>
      </w:r>
      <w:r w:rsidRPr="00B700A9">
        <w:rPr>
          <w:highlight w:val="yellow"/>
        </w:rPr>
        <w:t xml:space="preserve"> for a given period</w:t>
      </w:r>
    </w:p>
    <w:p w14:paraId="56A554E1" w14:textId="77777777" w:rsidR="00631AFF" w:rsidRPr="00631AFF" w:rsidRDefault="00631AFF" w:rsidP="008818E0">
      <w:pPr>
        <w:contextualSpacing/>
        <w:jc w:val="both"/>
      </w:pPr>
    </w:p>
    <w:p w14:paraId="2A5D7E4C" w14:textId="77777777" w:rsidR="00631AFF" w:rsidRDefault="00915B9C" w:rsidP="008818E0">
      <w:pPr>
        <w:contextualSpacing/>
        <w:jc w:val="both"/>
        <w:rPr>
          <w:b/>
          <w:sz w:val="32"/>
          <w:szCs w:val="32"/>
        </w:rPr>
      </w:pPr>
      <w:r w:rsidRPr="002F652E">
        <w:rPr>
          <w:noProof/>
          <w:highlight w:val="yellow"/>
          <w:lang w:val="en-US" w:eastAsia="en-US"/>
        </w:rPr>
        <w:drawing>
          <wp:inline distT="0" distB="0" distL="0" distR="0" wp14:anchorId="1D40A55B" wp14:editId="54145F49">
            <wp:extent cx="6315710" cy="2867966"/>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5710" cy="2867966"/>
                    </a:xfrm>
                    <a:prstGeom prst="rect">
                      <a:avLst/>
                    </a:prstGeom>
                    <a:noFill/>
                    <a:ln>
                      <a:noFill/>
                    </a:ln>
                  </pic:spPr>
                </pic:pic>
              </a:graphicData>
            </a:graphic>
          </wp:inline>
        </w:drawing>
      </w:r>
      <w:bookmarkStart w:id="237" w:name="_Toc254161809"/>
      <w:bookmarkEnd w:id="237"/>
    </w:p>
    <w:p w14:paraId="5545FD05" w14:textId="77777777" w:rsidR="00631AFF" w:rsidRDefault="00631AFF" w:rsidP="008818E0">
      <w:pPr>
        <w:contextualSpacing/>
        <w:jc w:val="both"/>
        <w:rPr>
          <w:b/>
          <w:sz w:val="32"/>
          <w:szCs w:val="32"/>
        </w:rPr>
      </w:pPr>
      <w:r>
        <w:rPr>
          <w:b/>
          <w:sz w:val="32"/>
          <w:szCs w:val="32"/>
        </w:rPr>
        <w:br w:type="page"/>
      </w:r>
    </w:p>
    <w:p w14:paraId="3486931D" w14:textId="5FC2F536" w:rsidR="001B2873" w:rsidRPr="00CD5A46" w:rsidRDefault="00D66F03" w:rsidP="00AB2D10">
      <w:pPr>
        <w:pStyle w:val="Heading1"/>
        <w:numPr>
          <w:ilvl w:val="0"/>
          <w:numId w:val="0"/>
        </w:numPr>
        <w:ind w:left="360"/>
      </w:pPr>
      <w:r w:rsidRPr="00831EFE">
        <w:rPr>
          <w:highlight w:val="yellow"/>
        </w:rPr>
        <w:lastRenderedPageBreak/>
        <w:t xml:space="preserve">Annex </w:t>
      </w:r>
      <w:r w:rsidR="00A55770" w:rsidRPr="00831EFE">
        <w:rPr>
          <w:highlight w:val="yellow"/>
        </w:rPr>
        <w:t>C</w:t>
      </w:r>
      <w:r w:rsidRPr="00831EFE">
        <w:rPr>
          <w:highlight w:val="yellow"/>
        </w:rPr>
        <w:t xml:space="preserve">: Reporting form </w:t>
      </w:r>
      <w:r w:rsidR="000A43F4" w:rsidRPr="00831EFE">
        <w:rPr>
          <w:highlight w:val="yellow"/>
        </w:rPr>
        <w:t>to be used to report to Independent Inspector</w:t>
      </w:r>
    </w:p>
    <w:p w14:paraId="29C687D8" w14:textId="17295F6B" w:rsidR="008908EE" w:rsidRDefault="008908EE" w:rsidP="008818E0">
      <w:pPr>
        <w:contextualSpacing/>
        <w:jc w:val="both"/>
        <w:rPr>
          <w:b/>
          <w:u w:val="single"/>
        </w:rPr>
      </w:pPr>
    </w:p>
    <w:p w14:paraId="6725C4AE" w14:textId="77777777" w:rsidR="007E678B" w:rsidRPr="004C526A" w:rsidRDefault="007E678B" w:rsidP="008818E0">
      <w:pPr>
        <w:contextualSpacing/>
        <w:jc w:val="both"/>
        <w:rPr>
          <w:rFonts w:eastAsia="Times New Roman"/>
          <w:b/>
          <w:sz w:val="24"/>
          <w:szCs w:val="24"/>
          <w:lang w:eastAsia="en-US"/>
        </w:rPr>
      </w:pPr>
      <w:r w:rsidRPr="00831EFE">
        <w:rPr>
          <w:rFonts w:eastAsia="Times New Roman"/>
          <w:b/>
          <w:sz w:val="24"/>
          <w:szCs w:val="24"/>
          <w:highlight w:val="yellow"/>
          <w:lang w:eastAsia="en-US"/>
        </w:rPr>
        <w:t>Annex C (1): Reporting form to be used to report to Independent Inspector</w:t>
      </w:r>
    </w:p>
    <w:p w14:paraId="2EF737C1" w14:textId="77777777" w:rsidR="007E678B" w:rsidRPr="007E678B" w:rsidRDefault="007E678B" w:rsidP="008818E0">
      <w:pPr>
        <w:contextualSpacing/>
        <w:jc w:val="both"/>
        <w:rPr>
          <w:rFonts w:eastAsia="Times New Roman"/>
          <w:sz w:val="24"/>
          <w:szCs w:val="24"/>
          <w:lang w:eastAsia="en-US"/>
        </w:rPr>
      </w:pPr>
    </w:p>
    <w:tbl>
      <w:tblPr>
        <w:tblpPr w:leftFromText="180" w:rightFromText="180" w:vertAnchor="page" w:horzAnchor="margin" w:tblpXSpec="center" w:tblpY="3779"/>
        <w:tblW w:w="0" w:type="auto"/>
        <w:tblLook w:val="04A0" w:firstRow="1" w:lastRow="0" w:firstColumn="1" w:lastColumn="0" w:noHBand="0" w:noVBand="1"/>
      </w:tblPr>
      <w:tblGrid>
        <w:gridCol w:w="571"/>
        <w:gridCol w:w="577"/>
        <w:gridCol w:w="796"/>
        <w:gridCol w:w="703"/>
        <w:gridCol w:w="703"/>
        <w:gridCol w:w="674"/>
        <w:gridCol w:w="685"/>
        <w:gridCol w:w="766"/>
        <w:gridCol w:w="526"/>
        <w:gridCol w:w="828"/>
        <w:gridCol w:w="757"/>
        <w:gridCol w:w="828"/>
        <w:gridCol w:w="828"/>
      </w:tblGrid>
      <w:tr w:rsidR="007E678B" w:rsidRPr="007E678B" w14:paraId="184E6DF4" w14:textId="77777777" w:rsidTr="008818E0">
        <w:trPr>
          <w:trHeight w:val="191"/>
        </w:trPr>
        <w:tc>
          <w:tcPr>
            <w:tcW w:w="0" w:type="auto"/>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vAlign w:val="bottom"/>
            <w:hideMark/>
          </w:tcPr>
          <w:p w14:paraId="5D22BA35" w14:textId="77777777" w:rsidR="007E678B" w:rsidRPr="007E678B" w:rsidRDefault="007E678B" w:rsidP="008818E0">
            <w:pPr>
              <w:contextualSpacing/>
              <w:jc w:val="both"/>
              <w:rPr>
                <w:rFonts w:eastAsia="Times New Roman"/>
                <w:sz w:val="14"/>
                <w:szCs w:val="14"/>
                <w:lang w:val="en-US" w:eastAsia="en-US"/>
              </w:rPr>
            </w:pPr>
            <w:r w:rsidRPr="007E678B">
              <w:rPr>
                <w:rFonts w:eastAsia="Times New Roman"/>
                <w:sz w:val="14"/>
                <w:szCs w:val="14"/>
                <w:lang w:val="en-US" w:eastAsia="en-US"/>
              </w:rPr>
              <w:t>OM Products</w:t>
            </w:r>
          </w:p>
        </w:tc>
      </w:tr>
      <w:tr w:rsidR="008818E0" w:rsidRPr="007E678B" w14:paraId="6CD1C488" w14:textId="77777777" w:rsidTr="008818E0">
        <w:trPr>
          <w:trHeight w:val="1063"/>
        </w:trPr>
        <w:tc>
          <w:tcPr>
            <w:tcW w:w="6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13DCF64C" w14:textId="77777777" w:rsidR="007E678B" w:rsidRPr="007E678B" w:rsidRDefault="007E678B" w:rsidP="008818E0">
            <w:pPr>
              <w:contextualSpacing/>
              <w:jc w:val="both"/>
              <w:rPr>
                <w:rFonts w:eastAsia="Times New Roman"/>
                <w:b/>
                <w:bCs/>
                <w:sz w:val="14"/>
                <w:szCs w:val="14"/>
                <w:lang w:val="en-US" w:eastAsia="en-US"/>
              </w:rPr>
            </w:pPr>
            <w:r w:rsidRPr="007E678B">
              <w:rPr>
                <w:rFonts w:eastAsia="Times New Roman"/>
                <w:b/>
                <w:bCs/>
                <w:sz w:val="14"/>
                <w:szCs w:val="14"/>
                <w:lang w:val="en-US" w:eastAsia="en-US"/>
              </w:rPr>
              <w:t>A</w:t>
            </w:r>
          </w:p>
        </w:tc>
        <w:tc>
          <w:tcPr>
            <w:tcW w:w="6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1EE16E1E" w14:textId="77777777" w:rsidR="007E678B" w:rsidRPr="007E678B" w:rsidRDefault="007E678B" w:rsidP="008818E0">
            <w:pPr>
              <w:contextualSpacing/>
              <w:jc w:val="both"/>
              <w:rPr>
                <w:rFonts w:eastAsia="Times New Roman"/>
                <w:b/>
                <w:bCs/>
                <w:sz w:val="14"/>
                <w:szCs w:val="14"/>
                <w:lang w:val="en-US" w:eastAsia="en-US"/>
              </w:rPr>
            </w:pPr>
            <w:r w:rsidRPr="007E678B">
              <w:rPr>
                <w:rFonts w:eastAsia="Times New Roman"/>
                <w:b/>
                <w:bCs/>
                <w:sz w:val="14"/>
                <w:szCs w:val="14"/>
                <w:lang w:val="en-US" w:eastAsia="en-US"/>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494A4AB1" w14:textId="77777777" w:rsidR="007E678B" w:rsidRPr="007E678B" w:rsidRDefault="007E678B" w:rsidP="008818E0">
            <w:pPr>
              <w:contextualSpacing/>
              <w:jc w:val="both"/>
              <w:rPr>
                <w:rFonts w:eastAsia="Times New Roman"/>
                <w:b/>
                <w:bCs/>
                <w:sz w:val="14"/>
                <w:szCs w:val="14"/>
                <w:lang w:val="en-US" w:eastAsia="en-US"/>
              </w:rPr>
            </w:pPr>
            <w:r w:rsidRPr="007E678B">
              <w:rPr>
                <w:rFonts w:eastAsia="Times New Roman"/>
                <w:b/>
                <w:bCs/>
                <w:sz w:val="14"/>
                <w:szCs w:val="14"/>
                <w:lang w:val="en-US" w:eastAsia="en-US"/>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42204151" w14:textId="77777777" w:rsidR="007E678B" w:rsidRPr="007E678B" w:rsidRDefault="007E678B" w:rsidP="008818E0">
            <w:pPr>
              <w:contextualSpacing/>
              <w:jc w:val="both"/>
              <w:rPr>
                <w:rFonts w:eastAsia="Times New Roman"/>
                <w:b/>
                <w:bCs/>
                <w:sz w:val="14"/>
                <w:szCs w:val="14"/>
                <w:lang w:val="en-US" w:eastAsia="en-US"/>
              </w:rPr>
            </w:pPr>
            <w:r w:rsidRPr="007E678B">
              <w:rPr>
                <w:rFonts w:eastAsia="Times New Roman"/>
                <w:b/>
                <w:bCs/>
                <w:sz w:val="14"/>
                <w:szCs w:val="14"/>
                <w:lang w:val="en-US" w:eastAsia="en-US"/>
              </w:rPr>
              <w:t>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6A76922C" w14:textId="77777777" w:rsidR="007E678B" w:rsidRPr="007E678B" w:rsidRDefault="007E678B" w:rsidP="008818E0">
            <w:pPr>
              <w:contextualSpacing/>
              <w:jc w:val="both"/>
              <w:rPr>
                <w:rFonts w:eastAsia="Times New Roman"/>
                <w:b/>
                <w:bCs/>
                <w:sz w:val="14"/>
                <w:szCs w:val="14"/>
                <w:lang w:val="en-US" w:eastAsia="en-US"/>
              </w:rPr>
            </w:pPr>
            <w:r w:rsidRPr="007E678B">
              <w:rPr>
                <w:rFonts w:eastAsia="Times New Roman"/>
                <w:b/>
                <w:bCs/>
                <w:sz w:val="14"/>
                <w:szCs w:val="14"/>
                <w:lang w:val="en-US" w:eastAsia="en-US"/>
              </w:rPr>
              <w:t>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61D28257" w14:textId="77777777" w:rsidR="007E678B" w:rsidRPr="007E678B" w:rsidRDefault="007E678B" w:rsidP="008818E0">
            <w:pPr>
              <w:contextualSpacing/>
              <w:jc w:val="both"/>
              <w:rPr>
                <w:rFonts w:eastAsia="Times New Roman"/>
                <w:b/>
                <w:bCs/>
                <w:sz w:val="14"/>
                <w:szCs w:val="14"/>
                <w:lang w:val="en-US" w:eastAsia="en-US"/>
              </w:rPr>
            </w:pPr>
            <w:r w:rsidRPr="007E678B">
              <w:rPr>
                <w:rFonts w:eastAsia="Times New Roman"/>
                <w:b/>
                <w:bCs/>
                <w:sz w:val="14"/>
                <w:szCs w:val="14"/>
                <w:lang w:val="en-US" w:eastAsia="en-US"/>
              </w:rPr>
              <w:t>F</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63DF3412" w14:textId="77777777" w:rsidR="007E678B" w:rsidRPr="007E678B" w:rsidRDefault="007E678B" w:rsidP="008818E0">
            <w:pPr>
              <w:contextualSpacing/>
              <w:jc w:val="both"/>
              <w:rPr>
                <w:rFonts w:eastAsia="Times New Roman"/>
                <w:b/>
                <w:bCs/>
                <w:sz w:val="14"/>
                <w:szCs w:val="14"/>
                <w:lang w:val="en-US" w:eastAsia="en-US"/>
              </w:rPr>
            </w:pPr>
            <w:r w:rsidRPr="007E678B">
              <w:rPr>
                <w:rFonts w:eastAsia="Times New Roman"/>
                <w:b/>
                <w:bCs/>
                <w:sz w:val="14"/>
                <w:szCs w:val="14"/>
                <w:lang w:val="en-US" w:eastAsia="en-US"/>
              </w:rPr>
              <w:t>G</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04DD8909" w14:textId="77777777" w:rsidR="007E678B" w:rsidRPr="007E678B" w:rsidRDefault="007E678B" w:rsidP="008818E0">
            <w:pPr>
              <w:contextualSpacing/>
              <w:jc w:val="both"/>
              <w:rPr>
                <w:rFonts w:eastAsia="Times New Roman"/>
                <w:b/>
                <w:bCs/>
                <w:sz w:val="14"/>
                <w:szCs w:val="14"/>
                <w:lang w:val="en-US" w:eastAsia="en-US"/>
              </w:rPr>
            </w:pPr>
            <w:r w:rsidRPr="007E678B">
              <w:rPr>
                <w:rFonts w:eastAsia="Times New Roman"/>
                <w:b/>
                <w:bCs/>
                <w:sz w:val="14"/>
                <w:szCs w:val="14"/>
                <w:lang w:val="en-US" w:eastAsia="en-US"/>
              </w:rPr>
              <w:t>H</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41DEC05D" w14:textId="77777777" w:rsidR="007E678B" w:rsidRPr="007E678B" w:rsidRDefault="007E678B" w:rsidP="008818E0">
            <w:pPr>
              <w:contextualSpacing/>
              <w:jc w:val="both"/>
              <w:rPr>
                <w:rFonts w:eastAsia="Times New Roman"/>
                <w:b/>
                <w:bCs/>
                <w:sz w:val="14"/>
                <w:szCs w:val="14"/>
                <w:lang w:val="en-US" w:eastAsia="en-US"/>
              </w:rPr>
            </w:pPr>
            <w:r w:rsidRPr="007E678B">
              <w:rPr>
                <w:rFonts w:eastAsia="Times New Roman"/>
                <w:b/>
                <w:bCs/>
                <w:sz w:val="14"/>
                <w:szCs w:val="14"/>
                <w:lang w:val="en-US" w:eastAsia="en-US"/>
              </w:rPr>
              <w:t>I</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19867C11" w14:textId="77777777" w:rsidR="007E678B" w:rsidRPr="007E678B" w:rsidRDefault="007E678B" w:rsidP="008818E0">
            <w:pPr>
              <w:contextualSpacing/>
              <w:jc w:val="both"/>
              <w:rPr>
                <w:rFonts w:eastAsia="Times New Roman"/>
                <w:b/>
                <w:bCs/>
                <w:sz w:val="14"/>
                <w:szCs w:val="14"/>
                <w:lang w:val="en-US" w:eastAsia="en-US"/>
              </w:rPr>
            </w:pPr>
            <w:r w:rsidRPr="007E678B">
              <w:rPr>
                <w:rFonts w:eastAsia="Times New Roman"/>
                <w:b/>
                <w:bCs/>
                <w:sz w:val="14"/>
                <w:szCs w:val="14"/>
                <w:lang w:val="en-US" w:eastAsia="en-US"/>
              </w:rPr>
              <w:t>J</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57524834" w14:textId="77777777" w:rsidR="007E678B" w:rsidRPr="007E678B" w:rsidRDefault="007E678B" w:rsidP="008818E0">
            <w:pPr>
              <w:contextualSpacing/>
              <w:jc w:val="both"/>
              <w:rPr>
                <w:rFonts w:eastAsia="Times New Roman"/>
                <w:b/>
                <w:bCs/>
                <w:sz w:val="14"/>
                <w:szCs w:val="14"/>
                <w:lang w:val="en-US" w:eastAsia="en-US"/>
              </w:rPr>
            </w:pPr>
            <w:r w:rsidRPr="007E678B">
              <w:rPr>
                <w:rFonts w:eastAsia="Times New Roman"/>
                <w:b/>
                <w:bCs/>
                <w:sz w:val="14"/>
                <w:szCs w:val="14"/>
                <w:lang w:val="en-US" w:eastAsia="en-US"/>
              </w:rPr>
              <w:t>K</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0AA8DD4B" w14:textId="77777777" w:rsidR="007E678B" w:rsidRPr="007E678B" w:rsidRDefault="007E678B" w:rsidP="008818E0">
            <w:pPr>
              <w:contextualSpacing/>
              <w:jc w:val="both"/>
              <w:rPr>
                <w:rFonts w:eastAsia="Times New Roman"/>
                <w:b/>
                <w:bCs/>
                <w:sz w:val="14"/>
                <w:szCs w:val="14"/>
                <w:lang w:val="en-US" w:eastAsia="en-US"/>
              </w:rPr>
            </w:pPr>
            <w:r w:rsidRPr="007E678B">
              <w:rPr>
                <w:rFonts w:eastAsia="Times New Roman"/>
                <w:b/>
                <w:bCs/>
                <w:sz w:val="14"/>
                <w:szCs w:val="14"/>
                <w:lang w:val="en-US" w:eastAsia="en-US"/>
              </w:rPr>
              <w:t>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0B3E3707" w14:textId="77777777" w:rsidR="007E678B" w:rsidRPr="007E678B" w:rsidRDefault="007E678B" w:rsidP="008818E0">
            <w:pPr>
              <w:contextualSpacing/>
              <w:jc w:val="both"/>
              <w:rPr>
                <w:rFonts w:eastAsia="Times New Roman"/>
                <w:b/>
                <w:bCs/>
                <w:sz w:val="14"/>
                <w:szCs w:val="14"/>
                <w:lang w:val="en-US" w:eastAsia="en-US"/>
              </w:rPr>
            </w:pPr>
            <w:r w:rsidRPr="007E678B">
              <w:rPr>
                <w:rFonts w:eastAsia="Times New Roman"/>
                <w:b/>
                <w:bCs/>
                <w:sz w:val="14"/>
                <w:szCs w:val="14"/>
                <w:lang w:val="en-US" w:eastAsia="en-US"/>
              </w:rPr>
              <w:t>M</w:t>
            </w:r>
          </w:p>
        </w:tc>
      </w:tr>
      <w:tr w:rsidR="008818E0" w:rsidRPr="007E678B" w14:paraId="6A082766" w14:textId="77777777" w:rsidTr="008818E0">
        <w:trPr>
          <w:trHeight w:val="1409"/>
        </w:trPr>
        <w:tc>
          <w:tcPr>
            <w:tcW w:w="62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466D9010" w14:textId="77777777" w:rsidR="007E678B" w:rsidRPr="00125E2C" w:rsidRDefault="007E678B" w:rsidP="008818E0">
            <w:pPr>
              <w:contextualSpacing/>
              <w:jc w:val="both"/>
              <w:rPr>
                <w:rFonts w:eastAsia="Times New Roman"/>
                <w:bCs/>
                <w:sz w:val="12"/>
                <w:szCs w:val="12"/>
                <w:lang w:val="en-US" w:eastAsia="en-US"/>
              </w:rPr>
            </w:pPr>
            <w:r w:rsidRPr="00125E2C">
              <w:rPr>
                <w:rFonts w:eastAsia="Times New Roman"/>
                <w:bCs/>
                <w:sz w:val="12"/>
                <w:szCs w:val="12"/>
                <w:lang w:val="en-US" w:eastAsia="en-US"/>
              </w:rPr>
              <w:t>Product Name</w:t>
            </w:r>
          </w:p>
        </w:tc>
        <w:tc>
          <w:tcPr>
            <w:tcW w:w="63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743C9CFC" w14:textId="38DD28F0" w:rsidR="007E678B" w:rsidRPr="00125E2C" w:rsidRDefault="007E678B" w:rsidP="008818E0">
            <w:pPr>
              <w:contextualSpacing/>
              <w:jc w:val="both"/>
              <w:rPr>
                <w:rFonts w:eastAsia="Times New Roman"/>
                <w:bCs/>
                <w:sz w:val="12"/>
                <w:szCs w:val="12"/>
                <w:lang w:val="en-US" w:eastAsia="en-US"/>
              </w:rPr>
            </w:pPr>
            <w:proofErr w:type="spellStart"/>
            <w:r w:rsidRPr="00125E2C">
              <w:rPr>
                <w:rFonts w:eastAsia="Times New Roman"/>
                <w:bCs/>
                <w:sz w:val="12"/>
                <w:szCs w:val="12"/>
                <w:lang w:val="en-US" w:eastAsia="en-US"/>
              </w:rPr>
              <w:t>Nb</w:t>
            </w:r>
            <w:proofErr w:type="spellEnd"/>
            <w:r w:rsidRPr="00125E2C">
              <w:rPr>
                <w:rFonts w:eastAsia="Times New Roman"/>
                <w:bCs/>
                <w:sz w:val="12"/>
                <w:szCs w:val="12"/>
                <w:lang w:val="en-US" w:eastAsia="en-US"/>
              </w:rPr>
              <w:t xml:space="preserve"> units shipped </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545F7452" w14:textId="77777777" w:rsidR="007E678B" w:rsidRPr="00125E2C" w:rsidRDefault="007E678B" w:rsidP="008818E0">
            <w:pPr>
              <w:contextualSpacing/>
              <w:jc w:val="both"/>
              <w:rPr>
                <w:rFonts w:eastAsia="Times New Roman"/>
                <w:bCs/>
                <w:sz w:val="12"/>
                <w:szCs w:val="12"/>
                <w:lang w:val="en-US" w:eastAsia="en-US"/>
              </w:rPr>
            </w:pPr>
            <w:r w:rsidRPr="00125E2C">
              <w:rPr>
                <w:rFonts w:eastAsia="Times New Roman"/>
                <w:bCs/>
                <w:sz w:val="12"/>
                <w:szCs w:val="12"/>
                <w:lang w:val="en-US" w:eastAsia="en-US"/>
              </w:rPr>
              <w:t>Product Description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6CFE4288" w14:textId="77777777" w:rsidR="007E678B" w:rsidRPr="00125E2C" w:rsidRDefault="007E678B" w:rsidP="008818E0">
            <w:pPr>
              <w:contextualSpacing/>
              <w:jc w:val="both"/>
              <w:rPr>
                <w:rFonts w:eastAsia="Times New Roman"/>
                <w:bCs/>
                <w:sz w:val="12"/>
                <w:szCs w:val="12"/>
                <w:lang w:val="en-US" w:eastAsia="en-US"/>
              </w:rPr>
            </w:pPr>
            <w:r w:rsidRPr="00125E2C">
              <w:rPr>
                <w:rFonts w:eastAsia="Times New Roman"/>
                <w:bCs/>
                <w:sz w:val="12"/>
                <w:szCs w:val="12"/>
                <w:lang w:val="en-US" w:eastAsia="en-US"/>
              </w:rPr>
              <w:t>Product Introduced On/After January 1, 2012?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714B45F4" w14:textId="77777777" w:rsidR="007E678B" w:rsidRPr="00125E2C" w:rsidRDefault="007E678B" w:rsidP="008818E0">
            <w:pPr>
              <w:contextualSpacing/>
              <w:jc w:val="both"/>
              <w:rPr>
                <w:rFonts w:eastAsia="Times New Roman"/>
                <w:bCs/>
                <w:sz w:val="12"/>
                <w:szCs w:val="12"/>
                <w:lang w:val="en-US" w:eastAsia="en-US"/>
              </w:rPr>
            </w:pPr>
            <w:r w:rsidRPr="00125E2C">
              <w:rPr>
                <w:rFonts w:eastAsia="Times New Roman"/>
                <w:bCs/>
                <w:sz w:val="12"/>
                <w:szCs w:val="12"/>
                <w:lang w:val="en-US" w:eastAsia="en-US"/>
              </w:rPr>
              <w:t>Product Introduced On/After January 1, 2014?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6FC786B7" w14:textId="77777777" w:rsidR="007E678B" w:rsidRPr="00125E2C" w:rsidRDefault="007E678B" w:rsidP="008818E0">
            <w:pPr>
              <w:contextualSpacing/>
              <w:jc w:val="both"/>
              <w:rPr>
                <w:rFonts w:eastAsia="Times New Roman"/>
                <w:bCs/>
                <w:sz w:val="12"/>
                <w:szCs w:val="12"/>
                <w:lang w:val="en-US" w:eastAsia="en-US"/>
              </w:rPr>
            </w:pPr>
            <w:r w:rsidRPr="00125E2C">
              <w:rPr>
                <w:rFonts w:eastAsia="Times New Roman"/>
                <w:bCs/>
                <w:sz w:val="12"/>
                <w:szCs w:val="12"/>
                <w:lang w:val="en-US" w:eastAsia="en-US"/>
              </w:rPr>
              <w:t>OM Measured Product Sleep Power (W)</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54881C08" w14:textId="235EE2C7" w:rsidR="007E678B" w:rsidRPr="00125E2C" w:rsidRDefault="005510F7" w:rsidP="008818E0">
            <w:pPr>
              <w:contextualSpacing/>
              <w:jc w:val="both"/>
              <w:rPr>
                <w:rFonts w:eastAsia="Times New Roman"/>
                <w:bCs/>
                <w:sz w:val="12"/>
                <w:szCs w:val="12"/>
                <w:lang w:val="en-US" w:eastAsia="en-US"/>
              </w:rPr>
            </w:pPr>
            <w:r>
              <w:rPr>
                <w:rFonts w:eastAsia="Times New Roman"/>
                <w:bCs/>
                <w:sz w:val="12"/>
                <w:szCs w:val="12"/>
                <w:lang w:val="en-US" w:eastAsia="en-US"/>
              </w:rPr>
              <w:t>ENERGY STAR</w:t>
            </w:r>
            <w:r w:rsidR="007E678B" w:rsidRPr="00125E2C">
              <w:rPr>
                <w:rFonts w:eastAsia="Times New Roman"/>
                <w:bCs/>
                <w:sz w:val="12"/>
                <w:szCs w:val="12"/>
                <w:lang w:val="en-US" w:eastAsia="en-US"/>
              </w:rPr>
              <w:t xml:space="preserve"> </w:t>
            </w:r>
            <w:r w:rsidR="00A227E2">
              <w:rPr>
                <w:rFonts w:eastAsia="Times New Roman"/>
                <w:bCs/>
                <w:sz w:val="12"/>
                <w:szCs w:val="12"/>
                <w:lang w:val="en-US" w:eastAsia="en-US"/>
              </w:rPr>
              <w:t xml:space="preserve">® </w:t>
            </w:r>
            <w:r w:rsidR="007E678B" w:rsidRPr="00125E2C">
              <w:rPr>
                <w:rFonts w:eastAsia="Times New Roman"/>
                <w:bCs/>
                <w:sz w:val="12"/>
                <w:szCs w:val="12"/>
                <w:lang w:val="en-US" w:eastAsia="en-US"/>
              </w:rPr>
              <w:t xml:space="preserve">2.0 OM Sleep Power Allowance (W) </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04A83AFF" w14:textId="77777777" w:rsidR="007E678B" w:rsidRPr="00125E2C" w:rsidRDefault="007E678B" w:rsidP="008818E0">
            <w:pPr>
              <w:contextualSpacing/>
              <w:jc w:val="both"/>
              <w:rPr>
                <w:rFonts w:eastAsia="Times New Roman"/>
                <w:bCs/>
                <w:sz w:val="12"/>
                <w:szCs w:val="12"/>
                <w:lang w:val="en-US" w:eastAsia="en-US"/>
              </w:rPr>
            </w:pPr>
            <w:r w:rsidRPr="00125E2C">
              <w:rPr>
                <w:rFonts w:eastAsia="Times New Roman"/>
                <w:bCs/>
                <w:sz w:val="12"/>
                <w:szCs w:val="12"/>
                <w:lang w:val="en-US" w:eastAsia="en-US"/>
              </w:rPr>
              <w:t>Passes OM Sleep power requirement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44EC052E" w14:textId="77777777" w:rsidR="007E678B" w:rsidRPr="00125E2C" w:rsidRDefault="007E678B" w:rsidP="008818E0">
            <w:pPr>
              <w:contextualSpacing/>
              <w:jc w:val="both"/>
              <w:rPr>
                <w:rFonts w:eastAsia="Times New Roman"/>
                <w:bCs/>
                <w:sz w:val="12"/>
                <w:szCs w:val="12"/>
                <w:lang w:val="en-US" w:eastAsia="en-US"/>
              </w:rPr>
            </w:pPr>
            <w:r w:rsidRPr="00125E2C">
              <w:rPr>
                <w:rFonts w:eastAsia="Times New Roman"/>
                <w:bCs/>
                <w:sz w:val="12"/>
                <w:szCs w:val="12"/>
                <w:lang w:val="en-US" w:eastAsia="en-US"/>
              </w:rPr>
              <w:t>Meets OM default delay time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2D8F868F" w14:textId="77777777" w:rsidR="007E678B" w:rsidRPr="00125E2C" w:rsidRDefault="007E678B" w:rsidP="008818E0">
            <w:pPr>
              <w:contextualSpacing/>
              <w:jc w:val="both"/>
              <w:rPr>
                <w:rFonts w:eastAsia="Times New Roman"/>
                <w:bCs/>
                <w:sz w:val="12"/>
                <w:szCs w:val="12"/>
                <w:lang w:val="en-US" w:eastAsia="en-US"/>
              </w:rPr>
            </w:pPr>
            <w:r w:rsidRPr="00125E2C">
              <w:rPr>
                <w:rFonts w:eastAsia="Times New Roman"/>
                <w:bCs/>
                <w:sz w:val="12"/>
                <w:szCs w:val="12"/>
                <w:lang w:val="en-US" w:eastAsia="en-US"/>
              </w:rPr>
              <w:t>Product meets VA commitments Part I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7629F569" w14:textId="77777777" w:rsidR="007E678B" w:rsidRPr="00125E2C" w:rsidRDefault="007E678B" w:rsidP="008818E0">
            <w:pPr>
              <w:contextualSpacing/>
              <w:jc w:val="both"/>
              <w:rPr>
                <w:rFonts w:eastAsia="Times New Roman"/>
                <w:bCs/>
                <w:sz w:val="12"/>
                <w:szCs w:val="12"/>
                <w:lang w:val="en-US" w:eastAsia="en-US"/>
              </w:rPr>
            </w:pPr>
            <w:r w:rsidRPr="00125E2C">
              <w:rPr>
                <w:rFonts w:eastAsia="Times New Roman"/>
                <w:bCs/>
                <w:sz w:val="12"/>
                <w:szCs w:val="12"/>
                <w:lang w:val="en-US" w:eastAsia="en-US"/>
              </w:rPr>
              <w:t>Percentage range of recycled plastic content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42B8B8B4" w14:textId="77777777" w:rsidR="007E678B" w:rsidRPr="00125E2C" w:rsidRDefault="007E678B" w:rsidP="008818E0">
            <w:pPr>
              <w:contextualSpacing/>
              <w:jc w:val="both"/>
              <w:rPr>
                <w:rFonts w:eastAsia="Times New Roman"/>
                <w:bCs/>
                <w:sz w:val="12"/>
                <w:szCs w:val="12"/>
                <w:lang w:val="en-US" w:eastAsia="en-US"/>
              </w:rPr>
            </w:pPr>
            <w:r w:rsidRPr="00125E2C">
              <w:rPr>
                <w:rFonts w:eastAsia="Times New Roman"/>
                <w:bCs/>
                <w:sz w:val="12"/>
                <w:szCs w:val="12"/>
                <w:lang w:val="en-US" w:eastAsia="en-US"/>
              </w:rPr>
              <w:t>Product meets VA commitments Part II and III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43929919" w14:textId="77777777" w:rsidR="007E678B" w:rsidRPr="00125E2C" w:rsidRDefault="007E678B" w:rsidP="008818E0">
            <w:pPr>
              <w:contextualSpacing/>
              <w:jc w:val="both"/>
              <w:rPr>
                <w:rFonts w:eastAsia="Times New Roman"/>
                <w:bCs/>
                <w:sz w:val="12"/>
                <w:szCs w:val="12"/>
                <w:lang w:val="en-US" w:eastAsia="en-US"/>
              </w:rPr>
            </w:pPr>
            <w:r w:rsidRPr="00125E2C">
              <w:rPr>
                <w:rFonts w:eastAsia="Times New Roman"/>
                <w:bCs/>
                <w:sz w:val="12"/>
                <w:szCs w:val="12"/>
                <w:lang w:val="en-US" w:eastAsia="en-US"/>
              </w:rPr>
              <w:t>When product does not meet VA commitments Part II and III list commitments that are not met</w:t>
            </w:r>
          </w:p>
        </w:tc>
      </w:tr>
      <w:tr w:rsidR="00125E2C" w:rsidRPr="007E678B" w14:paraId="60DDD2EC"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DC73A8"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4DDAB0"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CB3F9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528F45"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4F0BA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7DF6DB"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74017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68AD6F"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D2638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41E519"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FED7DB"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ABDC5A"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3142D6"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37FC3AE6"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19701"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D117"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41D0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A3575"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1D83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19D6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0ABB8"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8A53C"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7BE2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678FD"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C832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0A279"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5C8FC"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2A8CE0D7"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6C4AB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7C35E9"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2D122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1E01DC"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3A4EC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EC294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F8DA4B"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DB43F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CC2B75"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AC0C95"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6B8B3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C99E90"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D500CE"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6C67FAD7"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A514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CDAF9"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9558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3ECE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4E663"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736D5"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DF8588"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2B1DC"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E1DB7"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6B252"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3E083"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8CA91"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019BC"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1410CCCE"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0EF720"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2B6B8E"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C9F3D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9C3D00"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DCDDD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736C3AB"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FD2CB1"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A87DA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E888F1"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ADA5E44"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5F32F1"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321207"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EA8583"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5E6C1A74"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DC8FC"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456B2"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EBAC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FAB58"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D4D60"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E1FD7"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824E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D0C7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4C50B"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80239"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A2CA3"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F1A38"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DA83E"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053A475D"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3FBC5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2A2F06"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5AE0F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74E06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D2DC7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60887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60F348"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62031F"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1EA0B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0962D5"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2135B5"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1640AA"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BB806B"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01F077F6"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080FF"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171AF"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2FF25"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30D9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D9AA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293A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6E367"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EC4C1"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EEDE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90C23"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3590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C4CB8"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8187E"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1E7F4C70"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36D83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1139CE"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E3686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229E719"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C93B18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0F57A5"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A2449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2DFAB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F74E1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7B9082"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63C85B"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0A31EF"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2A86B9"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59240F27"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4277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8A3A8B"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4E98B"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06DDB"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736E2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4E6B1"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22F410"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9C288"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8C881"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0C252"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BAC3C"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B81F2"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D4D60A"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70B9BF86"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7663CFC"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83E6605"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CDC727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1FC587"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E98969"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4951E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D876D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54FC0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55D9DC"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9398AE"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54F0D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A7AF88"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A05EF4B"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4043C00E"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56920"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EA441"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00ADB"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D6B13"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1778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2E4F5"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67B5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5DD58"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949AC"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BF0A7"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ABEDB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C58E9"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B8FAE"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2759E679"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2BBB9F"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C970C4"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F7FD4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BC50C1"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72CC4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13F3FF"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84518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399F35"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9DA05F"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1E60D6"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75C30B"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8C8338A"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36E3E54"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41909AF7"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B6E2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7880"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4B863"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2B1C3"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A7328"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0C65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58E0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5C87C"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8E3C9"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76C57"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402AC"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75BC0"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7915D"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667DD11E"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95CB1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9C6D79"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207F1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B78D48"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B408C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C0B718"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3CEB88"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A24BC1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517A2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C901C9"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567C5F"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EE281F"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85FE69"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1F6A9137"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C56F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15796"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9FA1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D4EE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C7D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56D75"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50B3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C9539"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58DC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D4F4E"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843C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CADB7"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11475"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6A4B6386"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51B41C"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7777ACE"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AEE223"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26467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6AE0DB"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411B48"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C07E6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BD5EA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E4F978"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435166"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96A9F8"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0368EE"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DD6A80"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4D836CA9"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6004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522D1"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9E4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957797"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98A03"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06AB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B84D7"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3FE13"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7142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D735D"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4F840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93186"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DBCDF"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44C62068" w14:textId="77777777" w:rsidTr="008818E0">
        <w:trPr>
          <w:trHeight w:val="205"/>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EC6B55"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DE70DA" w14:textId="77777777" w:rsidR="007E678B" w:rsidRPr="007E678B" w:rsidRDefault="007E678B" w:rsidP="008818E0">
            <w:pPr>
              <w:contextualSpacing/>
              <w:jc w:val="both"/>
              <w:rPr>
                <w:rFonts w:eastAsia="Times New Roman"/>
                <w:color w:val="538DD5"/>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59C0DE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ECEEF73"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3C4EB03"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78C2E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7DB136F"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853D2C"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88B57F"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A7B45B"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BF047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1C0BCD"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0FD6986"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25C1A36A"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610D1"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0165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6D1F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1C4F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D7E69"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75DB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2C13F"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C554B"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0FC0F"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28ED0"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D805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1DEC8"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C4938"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56C108FB"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6EA95"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21E2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AED8C"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Monochrome non-MFD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7DC9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75B2F"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20658"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49D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092B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8E10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E8B82"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AE79F"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4B719"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5C597F14"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2694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E0923"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1419A"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Monochrome MFD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EB27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D28E3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703B0"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54EC0"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B177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FB926"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EB1F5"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0 to 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DE4F5"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58CDB"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0614706C"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D141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84019"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FCA17"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Color non-MFD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88103"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A33D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2D010"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4C850"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55803"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E58B5"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E0DFF"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5 to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B94E0"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B39C8"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7ECC87E6"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98CA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54C4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B9AA1"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Color MFD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7E8B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82A65"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F441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36F81"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9A991"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AE355"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034E7"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0A79E1"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10 to 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27F2A"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51A3E" w14:textId="77777777" w:rsidR="007E678B" w:rsidRPr="007E678B" w:rsidRDefault="007E678B" w:rsidP="008818E0">
            <w:pPr>
              <w:contextualSpacing/>
              <w:jc w:val="both"/>
              <w:rPr>
                <w:rFonts w:eastAsia="Times New Roman"/>
                <w:color w:val="000000"/>
                <w:sz w:val="14"/>
                <w:szCs w:val="14"/>
                <w:lang w:val="en-US" w:eastAsia="en-US"/>
              </w:rPr>
            </w:pPr>
          </w:p>
        </w:tc>
      </w:tr>
      <w:tr w:rsidR="00125E2C" w:rsidRPr="007E678B" w14:paraId="432F8022" w14:textId="77777777" w:rsidTr="008818E0">
        <w:trPr>
          <w:trHeight w:val="19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6786C"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6701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63C27"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E874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95470"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920C2"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A84AD"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09E49"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554A0"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C4C94"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2840F" w14:textId="77777777" w:rsidR="007E678B" w:rsidRPr="007E678B" w:rsidRDefault="007E678B" w:rsidP="008818E0">
            <w:pPr>
              <w:contextualSpacing/>
              <w:jc w:val="both"/>
              <w:rPr>
                <w:rFonts w:eastAsia="Times New Roman"/>
                <w:color w:val="000000"/>
                <w:sz w:val="14"/>
                <w:szCs w:val="14"/>
                <w:lang w:val="en-US" w:eastAsia="en-US"/>
              </w:rPr>
            </w:pPr>
            <w:r w:rsidRPr="007E678B">
              <w:rPr>
                <w:rFonts w:eastAsia="Times New Roman"/>
                <w:color w:val="000000"/>
                <w:sz w:val="14"/>
                <w:szCs w:val="14"/>
                <w:lang w:val="en-US" w:eastAsia="en-US"/>
              </w:rPr>
              <w:t>15 to 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1196E" w14:textId="77777777" w:rsidR="007E678B" w:rsidRPr="007E678B" w:rsidRDefault="007E678B" w:rsidP="008818E0">
            <w:pPr>
              <w:contextualSpacing/>
              <w:jc w:val="both"/>
              <w:rPr>
                <w:rFonts w:eastAsia="Times New Roman"/>
                <w:color w:val="000000"/>
                <w:sz w:val="14"/>
                <w:szCs w:val="14"/>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94CAD" w14:textId="77777777" w:rsidR="007E678B" w:rsidRPr="007E678B" w:rsidRDefault="007E678B" w:rsidP="008818E0">
            <w:pPr>
              <w:contextualSpacing/>
              <w:jc w:val="both"/>
              <w:rPr>
                <w:rFonts w:eastAsia="Times New Roman"/>
                <w:color w:val="000000"/>
                <w:sz w:val="14"/>
                <w:szCs w:val="14"/>
                <w:lang w:val="en-US" w:eastAsia="en-US"/>
              </w:rPr>
            </w:pPr>
          </w:p>
        </w:tc>
      </w:tr>
    </w:tbl>
    <w:p w14:paraId="105378CA" w14:textId="77777777" w:rsidR="007E678B" w:rsidRPr="007E678B" w:rsidRDefault="007E678B" w:rsidP="008818E0">
      <w:pPr>
        <w:contextualSpacing/>
        <w:jc w:val="both"/>
        <w:rPr>
          <w:rFonts w:eastAsia="Times New Roman"/>
          <w:sz w:val="24"/>
          <w:szCs w:val="24"/>
          <w:lang w:eastAsia="en-US"/>
        </w:rPr>
      </w:pPr>
      <w:r w:rsidRPr="00831EFE">
        <w:rPr>
          <w:rFonts w:eastAsia="Times New Roman"/>
          <w:sz w:val="24"/>
          <w:szCs w:val="24"/>
          <w:highlight w:val="yellow"/>
          <w:lang w:eastAsia="en-US"/>
        </w:rPr>
        <w:t>Template for reporting OM products</w:t>
      </w:r>
    </w:p>
    <w:p w14:paraId="405627CF" w14:textId="65A35079" w:rsidR="004C526A" w:rsidRDefault="004C526A" w:rsidP="008818E0">
      <w:pPr>
        <w:contextualSpacing/>
        <w:jc w:val="both"/>
        <w:rPr>
          <w:b/>
        </w:rPr>
      </w:pPr>
      <w:r>
        <w:rPr>
          <w:b/>
        </w:rPr>
        <w:br w:type="page"/>
      </w:r>
    </w:p>
    <w:p w14:paraId="4A7D7592" w14:textId="77777777" w:rsidR="00004169" w:rsidRPr="00004169" w:rsidRDefault="00004169" w:rsidP="008818E0">
      <w:pPr>
        <w:contextualSpacing/>
        <w:jc w:val="both"/>
        <w:rPr>
          <w:rFonts w:eastAsia="Times New Roman"/>
          <w:b/>
          <w:sz w:val="32"/>
          <w:szCs w:val="32"/>
          <w:highlight w:val="yellow"/>
          <w:lang w:eastAsia="en-US"/>
        </w:rPr>
      </w:pPr>
      <w:r w:rsidRPr="00004169">
        <w:rPr>
          <w:rFonts w:eastAsia="Times New Roman"/>
          <w:b/>
          <w:sz w:val="32"/>
          <w:szCs w:val="32"/>
          <w:highlight w:val="yellow"/>
          <w:lang w:val="en-US" w:eastAsia="en-US"/>
        </w:rPr>
        <w:lastRenderedPageBreak/>
        <w:t xml:space="preserve">Annex C (2) </w:t>
      </w:r>
      <w:r w:rsidRPr="00004169">
        <w:rPr>
          <w:rFonts w:eastAsia="Times New Roman"/>
          <w:b/>
          <w:sz w:val="32"/>
          <w:szCs w:val="32"/>
          <w:highlight w:val="yellow"/>
          <w:lang w:eastAsia="en-US"/>
        </w:rPr>
        <w:t>Reporting form to be used to report to Independent Inspector</w:t>
      </w:r>
    </w:p>
    <w:p w14:paraId="4A144A91" w14:textId="77777777" w:rsidR="00004169" w:rsidRPr="00004169" w:rsidRDefault="00004169" w:rsidP="008818E0">
      <w:pPr>
        <w:contextualSpacing/>
        <w:jc w:val="both"/>
        <w:rPr>
          <w:rFonts w:eastAsia="Times New Roman"/>
          <w:sz w:val="24"/>
          <w:szCs w:val="24"/>
          <w:highlight w:val="yellow"/>
          <w:lang w:eastAsia="en-US"/>
        </w:rPr>
      </w:pPr>
    </w:p>
    <w:p w14:paraId="077D7612" w14:textId="77777777" w:rsidR="00004169" w:rsidRPr="00004169" w:rsidRDefault="00004169" w:rsidP="008818E0">
      <w:pPr>
        <w:contextualSpacing/>
        <w:jc w:val="both"/>
        <w:rPr>
          <w:rFonts w:eastAsia="Times New Roman"/>
          <w:sz w:val="24"/>
          <w:szCs w:val="24"/>
          <w:lang w:eastAsia="en-US"/>
        </w:rPr>
      </w:pPr>
      <w:r w:rsidRPr="00004169">
        <w:rPr>
          <w:rFonts w:eastAsia="Times New Roman"/>
          <w:sz w:val="24"/>
          <w:szCs w:val="24"/>
          <w:highlight w:val="yellow"/>
          <w:lang w:eastAsia="en-US"/>
        </w:rPr>
        <w:t>Template for reporting TEC products</w:t>
      </w:r>
    </w:p>
    <w:p w14:paraId="73273866" w14:textId="77777777" w:rsidR="00004169" w:rsidRPr="00004169" w:rsidRDefault="00004169" w:rsidP="008818E0">
      <w:pPr>
        <w:contextualSpacing/>
        <w:jc w:val="both"/>
        <w:rPr>
          <w:rFonts w:eastAsia="Times New Roman"/>
          <w:sz w:val="24"/>
          <w:szCs w:val="24"/>
          <w:lang w:eastAsia="en-US"/>
        </w:rPr>
      </w:pPr>
    </w:p>
    <w:tbl>
      <w:tblPr>
        <w:tblW w:w="0" w:type="auto"/>
        <w:tblInd w:w="-452" w:type="dxa"/>
        <w:tblLook w:val="04A0" w:firstRow="1" w:lastRow="0" w:firstColumn="1" w:lastColumn="0" w:noHBand="0" w:noVBand="1"/>
      </w:tblPr>
      <w:tblGrid>
        <w:gridCol w:w="521"/>
        <w:gridCol w:w="527"/>
        <w:gridCol w:w="729"/>
        <w:gridCol w:w="633"/>
        <w:gridCol w:w="633"/>
        <w:gridCol w:w="457"/>
        <w:gridCol w:w="682"/>
        <w:gridCol w:w="682"/>
        <w:gridCol w:w="687"/>
        <w:gridCol w:w="687"/>
        <w:gridCol w:w="540"/>
        <w:gridCol w:w="741"/>
        <w:gridCol w:w="693"/>
        <w:gridCol w:w="741"/>
        <w:gridCol w:w="741"/>
      </w:tblGrid>
      <w:tr w:rsidR="00004169" w:rsidRPr="00004169" w14:paraId="4B39CB09" w14:textId="77777777" w:rsidTr="0035235C">
        <w:trPr>
          <w:trHeight w:val="223"/>
        </w:trPr>
        <w:tc>
          <w:tcPr>
            <w:tcW w:w="0" w:type="auto"/>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noWrap/>
            <w:vAlign w:val="bottom"/>
            <w:hideMark/>
          </w:tcPr>
          <w:p w14:paraId="42AB932C" w14:textId="77777777" w:rsidR="00004169" w:rsidRPr="0035235C" w:rsidRDefault="00004169" w:rsidP="008818E0">
            <w:pPr>
              <w:contextualSpacing/>
              <w:jc w:val="both"/>
              <w:rPr>
                <w:rFonts w:eastAsia="Times New Roman"/>
                <w:color w:val="FFFFFF"/>
                <w:sz w:val="12"/>
                <w:szCs w:val="12"/>
                <w:lang w:val="en-US" w:eastAsia="en-US"/>
              </w:rPr>
            </w:pPr>
            <w:r w:rsidRPr="0035235C">
              <w:rPr>
                <w:rFonts w:eastAsia="Times New Roman"/>
                <w:color w:val="FFFFFF"/>
                <w:sz w:val="12"/>
                <w:szCs w:val="12"/>
                <w:lang w:val="en-US" w:eastAsia="en-US"/>
              </w:rPr>
              <w:t>TEC Products</w:t>
            </w:r>
          </w:p>
        </w:tc>
      </w:tr>
      <w:tr w:rsidR="00004169" w:rsidRPr="00004169" w14:paraId="10142C86" w14:textId="77777777" w:rsidTr="0035235C">
        <w:trPr>
          <w:trHeight w:val="634"/>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032F0020" w14:textId="77777777" w:rsidR="00004169" w:rsidRPr="0035235C" w:rsidRDefault="00004169" w:rsidP="008818E0">
            <w:pPr>
              <w:contextualSpacing/>
              <w:jc w:val="both"/>
              <w:rPr>
                <w:rFonts w:eastAsia="Times New Roman"/>
                <w:b/>
                <w:bCs/>
                <w:color w:val="FFFFFF"/>
                <w:sz w:val="12"/>
                <w:szCs w:val="12"/>
                <w:lang w:val="en-US" w:eastAsia="en-US"/>
              </w:rPr>
            </w:pPr>
            <w:r w:rsidRPr="0035235C">
              <w:rPr>
                <w:rFonts w:eastAsia="Times New Roman"/>
                <w:b/>
                <w:bCs/>
                <w:color w:val="FFFFFF"/>
                <w:sz w:val="12"/>
                <w:szCs w:val="12"/>
                <w:lang w:val="en-US" w:eastAsia="en-US"/>
              </w:rPr>
              <w:t>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3D2475A9" w14:textId="77777777" w:rsidR="00004169" w:rsidRPr="0035235C" w:rsidRDefault="00004169" w:rsidP="008818E0">
            <w:pPr>
              <w:contextualSpacing/>
              <w:jc w:val="both"/>
              <w:rPr>
                <w:rFonts w:eastAsia="Times New Roman"/>
                <w:b/>
                <w:bCs/>
                <w:color w:val="FFFFFF"/>
                <w:sz w:val="12"/>
                <w:szCs w:val="12"/>
                <w:lang w:val="en-US" w:eastAsia="en-US"/>
              </w:rPr>
            </w:pPr>
            <w:r w:rsidRPr="0035235C">
              <w:rPr>
                <w:rFonts w:eastAsia="Times New Roman"/>
                <w:b/>
                <w:bCs/>
                <w:color w:val="FFFFFF"/>
                <w:sz w:val="12"/>
                <w:szCs w:val="12"/>
                <w:lang w:val="en-US" w:eastAsia="en-US"/>
              </w:rPr>
              <w:t>B</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3AC2AA6A" w14:textId="77777777" w:rsidR="00004169" w:rsidRPr="0035235C" w:rsidRDefault="00004169" w:rsidP="008818E0">
            <w:pPr>
              <w:contextualSpacing/>
              <w:jc w:val="both"/>
              <w:rPr>
                <w:rFonts w:eastAsia="Times New Roman"/>
                <w:b/>
                <w:bCs/>
                <w:color w:val="FFFFFF"/>
                <w:sz w:val="12"/>
                <w:szCs w:val="12"/>
                <w:lang w:val="en-US" w:eastAsia="en-US"/>
              </w:rPr>
            </w:pPr>
            <w:r w:rsidRPr="0035235C">
              <w:rPr>
                <w:rFonts w:eastAsia="Times New Roman"/>
                <w:b/>
                <w:bCs/>
                <w:color w:val="FFFFFF"/>
                <w:sz w:val="12"/>
                <w:szCs w:val="12"/>
                <w:lang w:val="en-US" w:eastAsia="en-US"/>
              </w:rPr>
              <w:t>C</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59108311" w14:textId="77777777" w:rsidR="00004169" w:rsidRPr="0035235C" w:rsidRDefault="00004169" w:rsidP="008818E0">
            <w:pPr>
              <w:contextualSpacing/>
              <w:jc w:val="both"/>
              <w:rPr>
                <w:rFonts w:eastAsia="Times New Roman"/>
                <w:b/>
                <w:bCs/>
                <w:color w:val="FFFFFF"/>
                <w:sz w:val="12"/>
                <w:szCs w:val="12"/>
                <w:lang w:val="en-US" w:eastAsia="en-US"/>
              </w:rPr>
            </w:pPr>
            <w:r w:rsidRPr="0035235C">
              <w:rPr>
                <w:rFonts w:eastAsia="Times New Roman"/>
                <w:b/>
                <w:bCs/>
                <w:color w:val="FFFFFF"/>
                <w:sz w:val="12"/>
                <w:szCs w:val="12"/>
                <w:lang w:val="en-US" w:eastAsia="en-US"/>
              </w:rPr>
              <w:t>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698105DB" w14:textId="77777777" w:rsidR="00004169" w:rsidRPr="0035235C" w:rsidRDefault="00004169" w:rsidP="008818E0">
            <w:pPr>
              <w:contextualSpacing/>
              <w:jc w:val="both"/>
              <w:rPr>
                <w:rFonts w:eastAsia="Times New Roman"/>
                <w:b/>
                <w:bCs/>
                <w:color w:val="FFFFFF"/>
                <w:sz w:val="12"/>
                <w:szCs w:val="12"/>
                <w:lang w:val="en-US" w:eastAsia="en-US"/>
              </w:rPr>
            </w:pPr>
            <w:r w:rsidRPr="0035235C">
              <w:rPr>
                <w:rFonts w:eastAsia="Times New Roman"/>
                <w:b/>
                <w:bCs/>
                <w:color w:val="FFFFFF"/>
                <w:sz w:val="12"/>
                <w:szCs w:val="12"/>
                <w:lang w:val="en-US" w:eastAsia="en-US"/>
              </w:rPr>
              <w:t>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15CA84DE" w14:textId="77777777" w:rsidR="00004169" w:rsidRPr="0035235C" w:rsidRDefault="00004169" w:rsidP="008818E0">
            <w:pPr>
              <w:contextualSpacing/>
              <w:jc w:val="both"/>
              <w:rPr>
                <w:rFonts w:eastAsia="Times New Roman"/>
                <w:b/>
                <w:bCs/>
                <w:color w:val="FFFFFF"/>
                <w:sz w:val="12"/>
                <w:szCs w:val="12"/>
                <w:lang w:val="en-US" w:eastAsia="en-US"/>
              </w:rPr>
            </w:pPr>
            <w:r w:rsidRPr="0035235C">
              <w:rPr>
                <w:rFonts w:eastAsia="Times New Roman"/>
                <w:b/>
                <w:bCs/>
                <w:color w:val="FFFFFF"/>
                <w:sz w:val="12"/>
                <w:szCs w:val="12"/>
                <w:lang w:val="en-US" w:eastAsia="en-US"/>
              </w:rPr>
              <w:t>F</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1557F81E" w14:textId="77777777" w:rsidR="00004169" w:rsidRPr="0035235C" w:rsidRDefault="00004169" w:rsidP="008818E0">
            <w:pPr>
              <w:contextualSpacing/>
              <w:jc w:val="both"/>
              <w:rPr>
                <w:rFonts w:eastAsia="Times New Roman"/>
                <w:b/>
                <w:bCs/>
                <w:color w:val="FFFFFF"/>
                <w:sz w:val="12"/>
                <w:szCs w:val="12"/>
                <w:lang w:val="en-US" w:eastAsia="en-US"/>
              </w:rPr>
            </w:pPr>
            <w:r w:rsidRPr="0035235C">
              <w:rPr>
                <w:rFonts w:eastAsia="Times New Roman"/>
                <w:b/>
                <w:bCs/>
                <w:color w:val="FFFFFF"/>
                <w:sz w:val="12"/>
                <w:szCs w:val="12"/>
                <w:lang w:val="en-US" w:eastAsia="en-US"/>
              </w:rPr>
              <w:t>G</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6AD6449A" w14:textId="77777777" w:rsidR="00004169" w:rsidRPr="0035235C" w:rsidRDefault="00004169" w:rsidP="008818E0">
            <w:pPr>
              <w:contextualSpacing/>
              <w:jc w:val="both"/>
              <w:rPr>
                <w:rFonts w:eastAsia="Times New Roman"/>
                <w:b/>
                <w:bCs/>
                <w:color w:val="FFFFFF"/>
                <w:sz w:val="12"/>
                <w:szCs w:val="12"/>
                <w:lang w:val="en-US" w:eastAsia="en-US"/>
              </w:rPr>
            </w:pPr>
            <w:r w:rsidRPr="0035235C">
              <w:rPr>
                <w:rFonts w:eastAsia="Times New Roman"/>
                <w:b/>
                <w:bCs/>
                <w:color w:val="FFFFFF"/>
                <w:sz w:val="12"/>
                <w:szCs w:val="12"/>
                <w:lang w:val="en-US" w:eastAsia="en-US"/>
              </w:rPr>
              <w:t>H</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3912C081" w14:textId="77777777" w:rsidR="00004169" w:rsidRPr="0035235C" w:rsidRDefault="00004169" w:rsidP="008818E0">
            <w:pPr>
              <w:contextualSpacing/>
              <w:jc w:val="both"/>
              <w:rPr>
                <w:rFonts w:eastAsia="Times New Roman"/>
                <w:b/>
                <w:bCs/>
                <w:color w:val="FFFFFF"/>
                <w:sz w:val="12"/>
                <w:szCs w:val="12"/>
                <w:lang w:val="fr-BE" w:eastAsia="en-US"/>
              </w:rPr>
            </w:pPr>
            <w:r w:rsidRPr="0035235C">
              <w:rPr>
                <w:rFonts w:eastAsia="Times New Roman"/>
                <w:b/>
                <w:bCs/>
                <w:color w:val="FFFFFF"/>
                <w:sz w:val="12"/>
                <w:szCs w:val="12"/>
                <w:lang w:val="fr-BE" w:eastAsia="en-US"/>
              </w:rPr>
              <w:t>I</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1F6FF8BF" w14:textId="77777777" w:rsidR="00004169" w:rsidRPr="0035235C" w:rsidRDefault="00004169" w:rsidP="008818E0">
            <w:pPr>
              <w:contextualSpacing/>
              <w:jc w:val="both"/>
              <w:rPr>
                <w:rFonts w:eastAsia="Times New Roman"/>
                <w:b/>
                <w:bCs/>
                <w:color w:val="FFFFFF"/>
                <w:sz w:val="12"/>
                <w:szCs w:val="12"/>
                <w:lang w:val="en-US" w:eastAsia="en-US"/>
              </w:rPr>
            </w:pPr>
            <w:r w:rsidRPr="0035235C">
              <w:rPr>
                <w:rFonts w:eastAsia="Times New Roman"/>
                <w:b/>
                <w:bCs/>
                <w:color w:val="FFFFFF"/>
                <w:sz w:val="12"/>
                <w:szCs w:val="12"/>
                <w:lang w:val="en-US" w:eastAsia="en-US"/>
              </w:rPr>
              <w:t>J</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25A66FBC" w14:textId="77777777" w:rsidR="00004169" w:rsidRPr="0035235C" w:rsidRDefault="00004169" w:rsidP="008818E0">
            <w:pPr>
              <w:contextualSpacing/>
              <w:jc w:val="both"/>
              <w:rPr>
                <w:rFonts w:eastAsia="Times New Roman"/>
                <w:b/>
                <w:bCs/>
                <w:color w:val="FFFFFF"/>
                <w:sz w:val="12"/>
                <w:szCs w:val="12"/>
                <w:lang w:val="en-US" w:eastAsia="en-US"/>
              </w:rPr>
            </w:pPr>
            <w:r w:rsidRPr="0035235C">
              <w:rPr>
                <w:rFonts w:eastAsia="Times New Roman"/>
                <w:b/>
                <w:bCs/>
                <w:color w:val="FFFFFF"/>
                <w:sz w:val="12"/>
                <w:szCs w:val="12"/>
                <w:lang w:val="en-US" w:eastAsia="en-US"/>
              </w:rPr>
              <w:t>K</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7D19498C" w14:textId="77777777" w:rsidR="00004169" w:rsidRPr="0035235C" w:rsidRDefault="00004169" w:rsidP="008818E0">
            <w:pPr>
              <w:contextualSpacing/>
              <w:jc w:val="both"/>
              <w:rPr>
                <w:rFonts w:eastAsia="Times New Roman"/>
                <w:b/>
                <w:bCs/>
                <w:color w:val="FFFFFF"/>
                <w:sz w:val="12"/>
                <w:szCs w:val="12"/>
                <w:lang w:val="en-US" w:eastAsia="en-US"/>
              </w:rPr>
            </w:pPr>
            <w:r w:rsidRPr="0035235C">
              <w:rPr>
                <w:rFonts w:eastAsia="Times New Roman"/>
                <w:b/>
                <w:bCs/>
                <w:color w:val="FFFFFF"/>
                <w:sz w:val="12"/>
                <w:szCs w:val="12"/>
                <w:lang w:val="en-US" w:eastAsia="en-US"/>
              </w:rPr>
              <w:t>L</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4E278049" w14:textId="77777777" w:rsidR="00004169" w:rsidRPr="0035235C" w:rsidRDefault="00004169" w:rsidP="008818E0">
            <w:pPr>
              <w:contextualSpacing/>
              <w:jc w:val="both"/>
              <w:rPr>
                <w:rFonts w:eastAsia="Times New Roman"/>
                <w:b/>
                <w:bCs/>
                <w:color w:val="FFFFFF"/>
                <w:sz w:val="12"/>
                <w:szCs w:val="12"/>
                <w:lang w:val="en-US" w:eastAsia="en-US"/>
              </w:rPr>
            </w:pPr>
            <w:r w:rsidRPr="0035235C">
              <w:rPr>
                <w:rFonts w:eastAsia="Times New Roman"/>
                <w:b/>
                <w:bCs/>
                <w:color w:val="FFFFFF"/>
                <w:sz w:val="12"/>
                <w:szCs w:val="12"/>
                <w:lang w:val="en-US" w:eastAsia="en-US"/>
              </w:rPr>
              <w:t>M</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5C715718" w14:textId="77777777" w:rsidR="00004169" w:rsidRPr="0035235C" w:rsidRDefault="00004169" w:rsidP="008818E0">
            <w:pPr>
              <w:contextualSpacing/>
              <w:jc w:val="both"/>
              <w:rPr>
                <w:rFonts w:eastAsia="Times New Roman"/>
                <w:b/>
                <w:bCs/>
                <w:color w:val="FFFFFF"/>
                <w:sz w:val="12"/>
                <w:szCs w:val="12"/>
                <w:lang w:val="en-US" w:eastAsia="en-US"/>
              </w:rPr>
            </w:pPr>
            <w:r w:rsidRPr="0035235C">
              <w:rPr>
                <w:rFonts w:eastAsia="Times New Roman"/>
                <w:b/>
                <w:bCs/>
                <w:color w:val="FFFFFF"/>
                <w:sz w:val="12"/>
                <w:szCs w:val="12"/>
                <w:lang w:val="en-US" w:eastAsia="en-US"/>
              </w:rPr>
              <w:t>N</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center"/>
          </w:tcPr>
          <w:p w14:paraId="0327271D" w14:textId="77777777" w:rsidR="00004169" w:rsidRPr="0035235C" w:rsidRDefault="00004169" w:rsidP="008818E0">
            <w:pPr>
              <w:contextualSpacing/>
              <w:jc w:val="both"/>
              <w:rPr>
                <w:rFonts w:eastAsia="Times New Roman"/>
                <w:b/>
                <w:bCs/>
                <w:color w:val="FFFFFF"/>
                <w:sz w:val="12"/>
                <w:szCs w:val="12"/>
                <w:lang w:val="en-US" w:eastAsia="en-US"/>
              </w:rPr>
            </w:pPr>
            <w:r w:rsidRPr="0035235C">
              <w:rPr>
                <w:rFonts w:eastAsia="Times New Roman"/>
                <w:b/>
                <w:bCs/>
                <w:color w:val="FFFFFF"/>
                <w:sz w:val="12"/>
                <w:szCs w:val="12"/>
                <w:lang w:val="en-US" w:eastAsia="en-US"/>
              </w:rPr>
              <w:t>O</w:t>
            </w:r>
          </w:p>
        </w:tc>
      </w:tr>
      <w:tr w:rsidR="00004169" w:rsidRPr="00004169" w14:paraId="50ADF0A2" w14:textId="77777777" w:rsidTr="0035235C">
        <w:trPr>
          <w:trHeight w:val="1337"/>
        </w:trPr>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70FCD1DE" w14:textId="77777777" w:rsidR="00004169" w:rsidRPr="0035235C" w:rsidRDefault="00004169" w:rsidP="008818E0">
            <w:pPr>
              <w:contextualSpacing/>
              <w:jc w:val="both"/>
              <w:rPr>
                <w:rFonts w:eastAsia="Times New Roman"/>
                <w:bCs/>
                <w:color w:val="FFFFFF"/>
                <w:sz w:val="10"/>
                <w:szCs w:val="10"/>
                <w:lang w:val="en-US" w:eastAsia="en-US"/>
              </w:rPr>
            </w:pPr>
            <w:r w:rsidRPr="0035235C">
              <w:rPr>
                <w:rFonts w:eastAsia="Times New Roman"/>
                <w:bCs/>
                <w:color w:val="FFFFFF"/>
                <w:sz w:val="10"/>
                <w:szCs w:val="10"/>
                <w:lang w:val="en-US" w:eastAsia="en-US"/>
              </w:rPr>
              <w:t>Product Name</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2E0C238A" w14:textId="77777777" w:rsidR="00004169" w:rsidRPr="0035235C" w:rsidRDefault="00004169" w:rsidP="008818E0">
            <w:pPr>
              <w:contextualSpacing/>
              <w:jc w:val="both"/>
              <w:rPr>
                <w:rFonts w:eastAsia="Times New Roman"/>
                <w:bCs/>
                <w:color w:val="FFFFFF"/>
                <w:sz w:val="10"/>
                <w:szCs w:val="10"/>
                <w:lang w:val="en-US" w:eastAsia="en-US"/>
              </w:rPr>
            </w:pPr>
            <w:r w:rsidRPr="0035235C">
              <w:rPr>
                <w:rFonts w:eastAsia="Times New Roman"/>
                <w:bCs/>
                <w:color w:val="FFFFFF"/>
                <w:sz w:val="10"/>
                <w:szCs w:val="10"/>
                <w:lang w:val="en-US" w:eastAsia="en-US"/>
              </w:rPr>
              <w:t xml:space="preserve"> </w:t>
            </w:r>
            <w:proofErr w:type="spellStart"/>
            <w:r w:rsidRPr="0035235C">
              <w:rPr>
                <w:rFonts w:eastAsia="Times New Roman"/>
                <w:bCs/>
                <w:color w:val="FFFFFF"/>
                <w:sz w:val="10"/>
                <w:szCs w:val="10"/>
                <w:lang w:val="en-US" w:eastAsia="en-US"/>
              </w:rPr>
              <w:t>Nb</w:t>
            </w:r>
            <w:proofErr w:type="spellEnd"/>
            <w:r w:rsidRPr="0035235C">
              <w:rPr>
                <w:rFonts w:eastAsia="Times New Roman"/>
                <w:bCs/>
                <w:color w:val="FFFFFF"/>
                <w:sz w:val="10"/>
                <w:szCs w:val="10"/>
                <w:lang w:val="en-US" w:eastAsia="en-US"/>
              </w:rPr>
              <w:t xml:space="preserve"> units shipped </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22BC4292" w14:textId="77777777" w:rsidR="00004169" w:rsidRPr="0035235C" w:rsidRDefault="00004169" w:rsidP="008818E0">
            <w:pPr>
              <w:contextualSpacing/>
              <w:jc w:val="both"/>
              <w:rPr>
                <w:rFonts w:eastAsia="Times New Roman"/>
                <w:bCs/>
                <w:color w:val="FFFFFF"/>
                <w:sz w:val="10"/>
                <w:szCs w:val="10"/>
                <w:lang w:val="en-US" w:eastAsia="en-US"/>
              </w:rPr>
            </w:pPr>
            <w:r w:rsidRPr="0035235C">
              <w:rPr>
                <w:rFonts w:eastAsia="Times New Roman"/>
                <w:bCs/>
                <w:color w:val="FFFFFF"/>
                <w:sz w:val="10"/>
                <w:szCs w:val="10"/>
                <w:lang w:val="en-US" w:eastAsia="en-US"/>
              </w:rPr>
              <w:t>Product Description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2B52A1EC" w14:textId="77777777" w:rsidR="00004169" w:rsidRPr="0035235C" w:rsidRDefault="00004169" w:rsidP="008818E0">
            <w:pPr>
              <w:contextualSpacing/>
              <w:jc w:val="both"/>
              <w:rPr>
                <w:rFonts w:eastAsia="Times New Roman"/>
                <w:bCs/>
                <w:color w:val="FFFFFF"/>
                <w:sz w:val="10"/>
                <w:szCs w:val="10"/>
                <w:lang w:val="en-US" w:eastAsia="en-US"/>
              </w:rPr>
            </w:pPr>
            <w:r w:rsidRPr="0035235C">
              <w:rPr>
                <w:rFonts w:eastAsia="Times New Roman"/>
                <w:bCs/>
                <w:color w:val="FFFFFF"/>
                <w:sz w:val="10"/>
                <w:szCs w:val="10"/>
                <w:lang w:val="en-US" w:eastAsia="en-US"/>
              </w:rPr>
              <w:t>Product Introduced On/After January 1, 2012?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1C1AAE22" w14:textId="77777777" w:rsidR="00004169" w:rsidRPr="0035235C" w:rsidRDefault="00004169" w:rsidP="008818E0">
            <w:pPr>
              <w:contextualSpacing/>
              <w:jc w:val="both"/>
              <w:rPr>
                <w:rFonts w:eastAsia="Times New Roman"/>
                <w:bCs/>
                <w:color w:val="FFFFFF"/>
                <w:sz w:val="10"/>
                <w:szCs w:val="10"/>
                <w:lang w:val="en-US" w:eastAsia="en-US"/>
              </w:rPr>
            </w:pPr>
            <w:r w:rsidRPr="0035235C">
              <w:rPr>
                <w:rFonts w:eastAsia="Times New Roman"/>
                <w:bCs/>
                <w:color w:val="FFFFFF"/>
                <w:sz w:val="10"/>
                <w:szCs w:val="10"/>
                <w:lang w:val="en-US" w:eastAsia="en-US"/>
              </w:rPr>
              <w:t>Product Introduced On/After January 1, 2014?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46970832" w14:textId="77777777" w:rsidR="00004169" w:rsidRPr="0035235C" w:rsidRDefault="00004169" w:rsidP="008818E0">
            <w:pPr>
              <w:contextualSpacing/>
              <w:jc w:val="both"/>
              <w:rPr>
                <w:rFonts w:eastAsia="Times New Roman"/>
                <w:bCs/>
                <w:color w:val="FFFFFF"/>
                <w:sz w:val="10"/>
                <w:szCs w:val="10"/>
                <w:lang w:val="en-US" w:eastAsia="en-US"/>
              </w:rPr>
            </w:pPr>
            <w:r w:rsidRPr="0035235C">
              <w:rPr>
                <w:rFonts w:eastAsia="Times New Roman"/>
                <w:bCs/>
                <w:color w:val="FFFFFF"/>
                <w:sz w:val="10"/>
                <w:szCs w:val="10"/>
                <w:lang w:val="en-US" w:eastAsia="en-US"/>
              </w:rPr>
              <w:t>Mono print speed (</w:t>
            </w:r>
            <w:proofErr w:type="spellStart"/>
            <w:r w:rsidRPr="0035235C">
              <w:rPr>
                <w:rFonts w:eastAsia="Times New Roman"/>
                <w:bCs/>
                <w:color w:val="FFFFFF"/>
                <w:sz w:val="10"/>
                <w:szCs w:val="10"/>
                <w:lang w:val="en-US" w:eastAsia="en-US"/>
              </w:rPr>
              <w:t>ipm</w:t>
            </w:r>
            <w:proofErr w:type="spellEnd"/>
            <w:r w:rsidRPr="0035235C">
              <w:rPr>
                <w:rFonts w:eastAsia="Times New Roman"/>
                <w:bCs/>
                <w:color w:val="FFFFFF"/>
                <w:sz w:val="10"/>
                <w:szCs w:val="10"/>
                <w:lang w:val="en-US" w:eastAsia="en-US"/>
              </w:rPr>
              <w: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2B2248B2" w14:textId="77777777" w:rsidR="00004169" w:rsidRPr="0035235C" w:rsidRDefault="00004169" w:rsidP="008818E0">
            <w:pPr>
              <w:contextualSpacing/>
              <w:jc w:val="both"/>
              <w:rPr>
                <w:rFonts w:eastAsia="Times New Roman"/>
                <w:bCs/>
                <w:color w:val="FFFFFF"/>
                <w:sz w:val="10"/>
                <w:szCs w:val="10"/>
                <w:lang w:val="en-US" w:eastAsia="en-US"/>
              </w:rPr>
            </w:pPr>
            <w:r w:rsidRPr="0035235C">
              <w:rPr>
                <w:rFonts w:eastAsia="Times New Roman"/>
                <w:bCs/>
                <w:color w:val="FFFFFF"/>
                <w:sz w:val="10"/>
                <w:szCs w:val="10"/>
                <w:lang w:val="en-US" w:eastAsia="en-US"/>
              </w:rPr>
              <w:t>Measured TEC  (kWh/week)</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5D4BA908" w14:textId="4E3494CA" w:rsidR="00004169" w:rsidRPr="0035235C" w:rsidRDefault="00004169" w:rsidP="008818E0">
            <w:pPr>
              <w:contextualSpacing/>
              <w:jc w:val="both"/>
              <w:rPr>
                <w:rFonts w:eastAsia="Times New Roman"/>
                <w:bCs/>
                <w:color w:val="FFFFFF"/>
                <w:sz w:val="10"/>
                <w:szCs w:val="10"/>
                <w:lang w:val="en-US" w:eastAsia="en-US"/>
              </w:rPr>
            </w:pPr>
            <w:r w:rsidRPr="0035235C">
              <w:rPr>
                <w:rFonts w:eastAsia="Times New Roman"/>
                <w:bCs/>
                <w:color w:val="FFFFFF"/>
                <w:sz w:val="10"/>
                <w:szCs w:val="10"/>
                <w:lang w:val="en-US" w:eastAsia="en-US"/>
              </w:rPr>
              <w:t xml:space="preserve"> </w:t>
            </w:r>
            <w:r w:rsidR="005510F7">
              <w:rPr>
                <w:rFonts w:eastAsia="Times New Roman"/>
                <w:bCs/>
                <w:color w:val="FFFFFF"/>
                <w:sz w:val="10"/>
                <w:szCs w:val="10"/>
                <w:lang w:val="en-US" w:eastAsia="en-US"/>
              </w:rPr>
              <w:t>ENERGY STAR</w:t>
            </w:r>
            <w:r w:rsidR="008503FB">
              <w:rPr>
                <w:rFonts w:eastAsia="Times New Roman"/>
                <w:bCs/>
                <w:color w:val="FFFFFF"/>
                <w:sz w:val="10"/>
                <w:szCs w:val="10"/>
                <w:lang w:val="en-US" w:eastAsia="en-US"/>
              </w:rPr>
              <w:t xml:space="preserve"> ®</w:t>
            </w:r>
            <w:r w:rsidRPr="0035235C">
              <w:rPr>
                <w:rFonts w:eastAsia="Times New Roman"/>
                <w:bCs/>
                <w:color w:val="FFFFFF"/>
                <w:sz w:val="10"/>
                <w:szCs w:val="10"/>
                <w:lang w:val="en-US" w:eastAsia="en-US"/>
              </w:rPr>
              <w:t xml:space="preserve"> 2.0 TEC  limit (kWh/week)</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3AA085FA" w14:textId="77777777" w:rsidR="00004169" w:rsidRPr="0035235C" w:rsidRDefault="00004169" w:rsidP="008818E0">
            <w:pPr>
              <w:contextualSpacing/>
              <w:jc w:val="both"/>
              <w:rPr>
                <w:rFonts w:eastAsia="Times New Roman"/>
                <w:bCs/>
                <w:color w:val="FFFFFF"/>
                <w:sz w:val="10"/>
                <w:szCs w:val="10"/>
                <w:lang w:val="fr-BE" w:eastAsia="en-US"/>
              </w:rPr>
            </w:pPr>
            <w:r w:rsidRPr="0035235C">
              <w:rPr>
                <w:rFonts w:eastAsia="Times New Roman"/>
                <w:bCs/>
                <w:color w:val="FFFFFF"/>
                <w:sz w:val="10"/>
                <w:szCs w:val="10"/>
                <w:lang w:val="fr-BE" w:eastAsia="en-US"/>
              </w:rPr>
              <w:t xml:space="preserve">Passes TEC </w:t>
            </w:r>
            <w:proofErr w:type="spellStart"/>
            <w:r w:rsidRPr="0035235C">
              <w:rPr>
                <w:rFonts w:eastAsia="Times New Roman"/>
                <w:bCs/>
                <w:color w:val="FFFFFF"/>
                <w:sz w:val="10"/>
                <w:szCs w:val="10"/>
                <w:lang w:val="fr-BE" w:eastAsia="en-US"/>
              </w:rPr>
              <w:t>requirement</w:t>
            </w:r>
            <w:proofErr w:type="spellEnd"/>
            <w:r w:rsidRPr="0035235C">
              <w:rPr>
                <w:rFonts w:eastAsia="Times New Roman"/>
                <w:bCs/>
                <w:color w:val="FFFFFF"/>
                <w:sz w:val="10"/>
                <w:szCs w:val="10"/>
                <w:lang w:val="fr-BE" w:eastAsia="en-US"/>
              </w:rPr>
              <w:t xml:space="preserve">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3B409B24" w14:textId="77777777" w:rsidR="00004169" w:rsidRPr="0035235C" w:rsidRDefault="00004169" w:rsidP="008818E0">
            <w:pPr>
              <w:contextualSpacing/>
              <w:jc w:val="both"/>
              <w:rPr>
                <w:rFonts w:eastAsia="Times New Roman"/>
                <w:bCs/>
                <w:color w:val="FFFFFF"/>
                <w:sz w:val="10"/>
                <w:szCs w:val="10"/>
                <w:lang w:val="en-US" w:eastAsia="en-US"/>
              </w:rPr>
            </w:pPr>
            <w:r w:rsidRPr="0035235C">
              <w:rPr>
                <w:rFonts w:eastAsia="Times New Roman"/>
                <w:bCs/>
                <w:color w:val="FFFFFF"/>
                <w:sz w:val="10"/>
                <w:szCs w:val="10"/>
                <w:lang w:val="en-US" w:eastAsia="en-US"/>
              </w:rPr>
              <w:t>Meets Auto Duplex Capability requirement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388C8D52" w14:textId="77777777" w:rsidR="00004169" w:rsidRPr="0035235C" w:rsidRDefault="00004169" w:rsidP="008818E0">
            <w:pPr>
              <w:contextualSpacing/>
              <w:jc w:val="both"/>
              <w:rPr>
                <w:rFonts w:eastAsia="Times New Roman"/>
                <w:bCs/>
                <w:color w:val="FFFFFF"/>
                <w:sz w:val="10"/>
                <w:szCs w:val="10"/>
                <w:lang w:val="en-US" w:eastAsia="en-US"/>
              </w:rPr>
            </w:pPr>
            <w:r w:rsidRPr="0035235C">
              <w:rPr>
                <w:rFonts w:eastAsia="Times New Roman"/>
                <w:bCs/>
                <w:color w:val="FFFFFF"/>
                <w:sz w:val="10"/>
                <w:szCs w:val="10"/>
                <w:lang w:val="en-US" w:eastAsia="en-US"/>
              </w:rPr>
              <w:t>Default Auto Duplex Enabled</w:t>
            </w:r>
            <w:r w:rsidRPr="0035235C">
              <w:rPr>
                <w:rFonts w:eastAsia="Times New Roman"/>
                <w:bCs/>
                <w:color w:val="FFFFFF"/>
                <w:sz w:val="10"/>
                <w:szCs w:val="10"/>
                <w:lang w:val="en-US" w:eastAsia="en-US"/>
              </w:rPr>
              <w:br/>
              <w:t>(see cell note)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03164315" w14:textId="77777777" w:rsidR="00004169" w:rsidRPr="0035235C" w:rsidRDefault="00004169" w:rsidP="008818E0">
            <w:pPr>
              <w:contextualSpacing/>
              <w:jc w:val="both"/>
              <w:rPr>
                <w:rFonts w:eastAsia="Times New Roman"/>
                <w:bCs/>
                <w:color w:val="FFFFFF"/>
                <w:sz w:val="10"/>
                <w:szCs w:val="10"/>
                <w:lang w:val="en-US" w:eastAsia="en-US"/>
              </w:rPr>
            </w:pPr>
            <w:r w:rsidRPr="0035235C">
              <w:rPr>
                <w:rFonts w:eastAsia="Times New Roman"/>
                <w:bCs/>
                <w:color w:val="FFFFFF"/>
                <w:sz w:val="10"/>
                <w:szCs w:val="10"/>
                <w:lang w:val="en-US" w:eastAsia="en-US"/>
              </w:rPr>
              <w:t>Product meets VA commitments Part I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08182A44" w14:textId="77777777" w:rsidR="00004169" w:rsidRPr="0035235C" w:rsidRDefault="00004169" w:rsidP="008818E0">
            <w:pPr>
              <w:contextualSpacing/>
              <w:jc w:val="both"/>
              <w:rPr>
                <w:rFonts w:eastAsia="Times New Roman"/>
                <w:bCs/>
                <w:color w:val="FFFFFF"/>
                <w:sz w:val="10"/>
                <w:szCs w:val="10"/>
                <w:lang w:val="en-US" w:eastAsia="en-US"/>
              </w:rPr>
            </w:pPr>
            <w:r w:rsidRPr="0035235C">
              <w:rPr>
                <w:rFonts w:eastAsia="Times New Roman"/>
                <w:bCs/>
                <w:color w:val="FFFFFF"/>
                <w:sz w:val="10"/>
                <w:szCs w:val="10"/>
                <w:lang w:val="en-US" w:eastAsia="en-US"/>
              </w:rPr>
              <w:t>Percentage range of recycled plastic content</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221A1793" w14:textId="77777777" w:rsidR="00004169" w:rsidRPr="0035235C" w:rsidRDefault="00004169" w:rsidP="008818E0">
            <w:pPr>
              <w:contextualSpacing/>
              <w:jc w:val="both"/>
              <w:rPr>
                <w:rFonts w:eastAsia="Times New Roman"/>
                <w:bCs/>
                <w:color w:val="FFFFFF"/>
                <w:sz w:val="10"/>
                <w:szCs w:val="10"/>
                <w:lang w:val="en-US" w:eastAsia="en-US"/>
              </w:rPr>
            </w:pPr>
            <w:r w:rsidRPr="0035235C">
              <w:rPr>
                <w:rFonts w:eastAsia="Times New Roman"/>
                <w:bCs/>
                <w:color w:val="FFFFFF"/>
                <w:sz w:val="10"/>
                <w:szCs w:val="10"/>
                <w:lang w:val="en-US" w:eastAsia="en-US"/>
              </w:rPr>
              <w:t>Product meets VA commitments Part II and III (Y/N)</w:t>
            </w:r>
          </w:p>
        </w:tc>
        <w:tc>
          <w:tcPr>
            <w:tcW w:w="0" w:type="auto"/>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000000" w:fill="000000"/>
            <w:vAlign w:val="center"/>
            <w:hideMark/>
          </w:tcPr>
          <w:p w14:paraId="5E071498" w14:textId="77777777" w:rsidR="00004169" w:rsidRPr="0035235C" w:rsidRDefault="00004169" w:rsidP="008818E0">
            <w:pPr>
              <w:contextualSpacing/>
              <w:jc w:val="both"/>
              <w:rPr>
                <w:rFonts w:eastAsia="Times New Roman"/>
                <w:bCs/>
                <w:color w:val="FFFFFF"/>
                <w:sz w:val="10"/>
                <w:szCs w:val="10"/>
                <w:lang w:val="en-US" w:eastAsia="en-US"/>
              </w:rPr>
            </w:pPr>
            <w:r w:rsidRPr="0035235C">
              <w:rPr>
                <w:rFonts w:eastAsia="Times New Roman"/>
                <w:bCs/>
                <w:color w:val="FFFFFF"/>
                <w:sz w:val="10"/>
                <w:szCs w:val="10"/>
                <w:lang w:val="en-US" w:eastAsia="en-US"/>
              </w:rPr>
              <w:t>When product does not meet VA commitments Part II and III list commitments that are not met</w:t>
            </w:r>
          </w:p>
        </w:tc>
      </w:tr>
      <w:tr w:rsidR="00004169" w:rsidRPr="00004169" w14:paraId="2D70A3F9"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F55E2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2AD0B2"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95092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8D7B8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6C9D49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EEB00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E3D55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7C011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426F5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B698C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00EDB69"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0426EE"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5665D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8E63E3"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9AF9DF"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4DD5DF73"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F57A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1A2F6"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5B1A6"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17E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BCB3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0014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EDEA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FC9C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C20A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E305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23D6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93A55"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F9A0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505DD"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ECAC7"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1045DDC1"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EA309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570DAF"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DB4E3F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99679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272FC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60695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B6011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B551BC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16CF19"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13C1F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049F9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6BE1B7"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BEEC3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79DA4C"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B84BEF"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28A1DE48"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8E4F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5C0BC"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FCBA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5B4D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B6914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FA149"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B679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16E8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B3CF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EA17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5A5A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1D9C7"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C91C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0EA50"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9DE4C"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7F5998C8"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D92D5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AE7EB5"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3FE6D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88383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5E0D1C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DD4DB6"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FB075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955BF12"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98FD1E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7580B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D88E0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CC90CF"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DC23F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5BF773"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30A5E8"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5527FE2D"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7394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6C2B2F"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1893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A907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63FD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BDD9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FE1F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B7AF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A551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DE2B2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9E63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263AF"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7333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5EFB3"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96A83"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349C20EF"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4EF556"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26E126"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9840D9"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3FCC11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8762C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E5F9B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7AA820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4B4A7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7598A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6EAA3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85E95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564A5B"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6F807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DA0354A"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292C7A"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053804BE"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837C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0CE06"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C71E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A8DD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FA88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00FF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14BE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A8AB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8F449"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071E2"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DAB0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68FF9"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E13E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F6E73"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CF537"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7719F671"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11AA49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2A3910"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DBD15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7FB994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A331C7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5D8EB5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C9FD3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904FEA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AB13C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23A15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F0BEC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4D29E2D"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0AD05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CE71843"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9A6B7A"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6C22CCEE"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0461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C94C7"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45C4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4DC4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4148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4F68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297C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45A39"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5FC66"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097A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740F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13B591"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96F4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F4E24"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56FE6"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1CB74D7B"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1CADF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D49A42E"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2C6A4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BF6F3E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BF795E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3F50A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051EC9"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B7AC6E2"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2C98F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F5969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9F350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C18E3B"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F7A349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415A4D"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323210"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2F59F8AA"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42DF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4451A"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BF79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76E4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F23C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CCF7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0660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69A7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0C076"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46B06"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A9E3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3B5E9"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68C0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5CC78"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1E3B9"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22002F3D"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A55E09"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1555A9"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5841EC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9E28E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6936FE6"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387F7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F7E681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F6D451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DFFE59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D18673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3D79A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D7019F6"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A0D19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95D59E"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30CB9E"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4B87655C"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0EB8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8BF56"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1148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0DEB3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58B3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A1BC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8DC6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BBB12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883AA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EDA7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F806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E280B"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2F70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C8B62"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C0A64"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79443EFC"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485BC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F4D315"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952898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738D2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1FC2F4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AF4DC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A46A21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C5BA1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815E8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14F84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B867AD6"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1234DEB"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270F2A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21AF3E6"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0B8D9A"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3B083FE2"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134E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80073"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616E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8FDD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0342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D4B1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61DC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20BA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5D8C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399B89"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0C9C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9F6E3"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15EA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7D2D9"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0CDE9"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74AB3223"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878B9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9029BBC"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1D5582"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6650B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344DC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599CE4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8C1A1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D2C8F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E73897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6C56E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44E546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09AD25"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A442C3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6160FE"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D2EBC1"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6464846D"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F5F8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18135"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6B80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FB6D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165A8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ADF2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6ECDC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92E7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9AAD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C82E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6AE9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57694"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2F8C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F1BF3"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00675"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3874D934" w14:textId="77777777" w:rsidTr="0035235C">
        <w:trPr>
          <w:trHeight w:val="238"/>
        </w:trPr>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39463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47155A" w14:textId="77777777" w:rsidR="00004169" w:rsidRPr="0035235C" w:rsidRDefault="00004169" w:rsidP="008818E0">
            <w:pPr>
              <w:contextualSpacing/>
              <w:jc w:val="both"/>
              <w:rPr>
                <w:rFonts w:eastAsia="Times New Roman"/>
                <w:color w:val="538DD5"/>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90AFD1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9BCAD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4C2A85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C1484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3FEC5D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F911E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131100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41BEF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47769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39EA5C1"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49977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4536A1"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4D9C60"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r>
      <w:tr w:rsidR="00004169" w:rsidRPr="00004169" w14:paraId="58A03F8B"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D80E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7C032"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4E53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9C7B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FC7B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DAAA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85CB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AFF4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106B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4B5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40C4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88D7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97B72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9C0A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0F267" w14:textId="77777777" w:rsidR="00004169" w:rsidRPr="0035235C" w:rsidRDefault="00004169" w:rsidP="008818E0">
            <w:pPr>
              <w:contextualSpacing/>
              <w:jc w:val="both"/>
              <w:rPr>
                <w:rFonts w:eastAsia="Times New Roman"/>
                <w:color w:val="000000"/>
                <w:sz w:val="12"/>
                <w:szCs w:val="12"/>
                <w:lang w:val="en-US" w:eastAsia="en-US"/>
              </w:rPr>
            </w:pPr>
          </w:p>
        </w:tc>
      </w:tr>
      <w:tr w:rsidR="00004169" w:rsidRPr="00004169" w14:paraId="622A0D7B"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2A77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CE5BC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32D25"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Monochrome non-MFD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7AE1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EBDC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2C306"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0873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FE7C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B89D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4FBE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119E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C4B60"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482A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94D131" w14:textId="77777777" w:rsidR="00004169" w:rsidRPr="0035235C" w:rsidRDefault="00004169" w:rsidP="008818E0">
            <w:pPr>
              <w:contextualSpacing/>
              <w:jc w:val="both"/>
              <w:rPr>
                <w:rFonts w:eastAsia="Times New Roman"/>
                <w:color w:val="000000"/>
                <w:sz w:val="12"/>
                <w:szCs w:val="12"/>
                <w:lang w:val="en-US" w:eastAsia="en-US"/>
              </w:rPr>
            </w:pPr>
          </w:p>
        </w:tc>
      </w:tr>
      <w:tr w:rsidR="00004169" w:rsidRPr="00004169" w14:paraId="6E5BBD9A"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408D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4F6A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83660"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Monochrome MFD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ABE1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B618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A5F5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7CBB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F202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0FE2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3591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E8EC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8D2BF"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0 to 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9AA6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BE48C" w14:textId="77777777" w:rsidR="00004169" w:rsidRPr="0035235C" w:rsidRDefault="00004169" w:rsidP="008818E0">
            <w:pPr>
              <w:contextualSpacing/>
              <w:jc w:val="both"/>
              <w:rPr>
                <w:rFonts w:eastAsia="Times New Roman"/>
                <w:color w:val="000000"/>
                <w:sz w:val="12"/>
                <w:szCs w:val="12"/>
                <w:lang w:val="en-US" w:eastAsia="en-US"/>
              </w:rPr>
            </w:pPr>
          </w:p>
        </w:tc>
      </w:tr>
      <w:tr w:rsidR="00004169" w:rsidRPr="00004169" w14:paraId="346AF9C0"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5A89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28FFD"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AA78A"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Color non-MFD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A2FAC"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3D1D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5343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FF98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516C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681A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84BC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F7A49"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34BCA"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5 to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F553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591E6" w14:textId="77777777" w:rsidR="00004169" w:rsidRPr="0035235C" w:rsidRDefault="00004169" w:rsidP="008818E0">
            <w:pPr>
              <w:contextualSpacing/>
              <w:jc w:val="both"/>
              <w:rPr>
                <w:rFonts w:eastAsia="Times New Roman"/>
                <w:color w:val="000000"/>
                <w:sz w:val="12"/>
                <w:szCs w:val="12"/>
                <w:lang w:val="en-US" w:eastAsia="en-US"/>
              </w:rPr>
            </w:pPr>
          </w:p>
        </w:tc>
      </w:tr>
      <w:tr w:rsidR="00004169" w:rsidRPr="00004169" w14:paraId="6DD85AF9"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C026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435F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6AF01"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Color MFD</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4794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D704E"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A6689"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C558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A3259"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A686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44329"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14C8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14EE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BC901"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10 to 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B1F3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8EC27" w14:textId="77777777" w:rsidR="00004169" w:rsidRPr="0035235C" w:rsidRDefault="00004169" w:rsidP="008818E0">
            <w:pPr>
              <w:contextualSpacing/>
              <w:jc w:val="both"/>
              <w:rPr>
                <w:rFonts w:eastAsia="Times New Roman"/>
                <w:color w:val="000000"/>
                <w:sz w:val="12"/>
                <w:szCs w:val="12"/>
                <w:lang w:val="en-US" w:eastAsia="en-US"/>
              </w:rPr>
            </w:pPr>
          </w:p>
        </w:tc>
      </w:tr>
      <w:tr w:rsidR="00004169" w:rsidRPr="00004169" w14:paraId="34F08F0E"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26F540"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B563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75E24"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33C9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8E29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ABF3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63F2E"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282E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4C4C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E5E0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970C2"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789E1"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180EA"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15 to 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B545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07F4E" w14:textId="77777777" w:rsidR="00004169" w:rsidRPr="0035235C" w:rsidRDefault="00004169" w:rsidP="008818E0">
            <w:pPr>
              <w:contextualSpacing/>
              <w:jc w:val="both"/>
              <w:rPr>
                <w:rFonts w:eastAsia="Times New Roman"/>
                <w:color w:val="000000"/>
                <w:sz w:val="12"/>
                <w:szCs w:val="12"/>
                <w:lang w:val="en-US" w:eastAsia="en-US"/>
              </w:rPr>
            </w:pPr>
          </w:p>
        </w:tc>
      </w:tr>
      <w:tr w:rsidR="00004169" w:rsidRPr="00004169" w14:paraId="6026C001" w14:textId="77777777" w:rsidTr="0035235C">
        <w:trPr>
          <w:trHeight w:val="22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CDD03"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A7762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CD3F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C991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A4EC8"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CFFBB"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BA82A"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F1712"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4CFC7"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3E5A6"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E01C5"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6D50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868E7" w14:textId="77777777" w:rsidR="00004169" w:rsidRPr="0035235C" w:rsidRDefault="00004169" w:rsidP="008818E0">
            <w:pPr>
              <w:contextualSpacing/>
              <w:jc w:val="both"/>
              <w:rPr>
                <w:rFonts w:eastAsia="Times New Roman"/>
                <w:color w:val="000000"/>
                <w:sz w:val="12"/>
                <w:szCs w:val="12"/>
                <w:lang w:val="en-US" w:eastAsia="en-US"/>
              </w:rPr>
            </w:pPr>
            <w:r w:rsidRPr="0035235C">
              <w:rPr>
                <w:rFonts w:eastAsia="Times New Roman"/>
                <w:color w:val="000000"/>
                <w:sz w:val="12"/>
                <w:szCs w:val="12"/>
                <w:lang w:val="en-US" w:eastAsia="en-US"/>
              </w:rPr>
              <w:t>over 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D588F" w14:textId="77777777" w:rsidR="00004169" w:rsidRPr="0035235C" w:rsidRDefault="00004169" w:rsidP="008818E0">
            <w:pPr>
              <w:contextualSpacing/>
              <w:jc w:val="both"/>
              <w:rPr>
                <w:rFonts w:eastAsia="Times New Roman"/>
                <w:color w:val="000000"/>
                <w:sz w:val="12"/>
                <w:szCs w:val="1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B3C57" w14:textId="77777777" w:rsidR="00004169" w:rsidRPr="0035235C" w:rsidRDefault="00004169" w:rsidP="008818E0">
            <w:pPr>
              <w:contextualSpacing/>
              <w:jc w:val="both"/>
              <w:rPr>
                <w:rFonts w:eastAsia="Times New Roman"/>
                <w:color w:val="000000"/>
                <w:sz w:val="12"/>
                <w:szCs w:val="12"/>
                <w:lang w:val="en-US" w:eastAsia="en-US"/>
              </w:rPr>
            </w:pPr>
          </w:p>
        </w:tc>
      </w:tr>
    </w:tbl>
    <w:p w14:paraId="49A0BD81" w14:textId="77777777" w:rsidR="00004169" w:rsidRPr="00004169" w:rsidRDefault="00004169" w:rsidP="008818E0">
      <w:pPr>
        <w:contextualSpacing/>
        <w:jc w:val="both"/>
        <w:rPr>
          <w:rFonts w:eastAsia="Times New Roman"/>
          <w:sz w:val="24"/>
          <w:szCs w:val="24"/>
          <w:lang w:eastAsia="en-US"/>
        </w:rPr>
      </w:pPr>
    </w:p>
    <w:p w14:paraId="4553280B" w14:textId="77777777" w:rsidR="00DA25AF" w:rsidRDefault="00DA25AF" w:rsidP="008818E0">
      <w:pPr>
        <w:contextualSpacing/>
        <w:jc w:val="both"/>
        <w:rPr>
          <w:b/>
        </w:rPr>
      </w:pPr>
    </w:p>
    <w:p w14:paraId="0395CC9D" w14:textId="77777777" w:rsidR="00631AFF" w:rsidRDefault="00631AFF" w:rsidP="008818E0">
      <w:pPr>
        <w:contextualSpacing/>
        <w:jc w:val="both"/>
        <w:rPr>
          <w:b/>
        </w:rPr>
      </w:pPr>
    </w:p>
    <w:p w14:paraId="44420ED5" w14:textId="77777777" w:rsidR="005A1E62" w:rsidRDefault="005A1E62" w:rsidP="008818E0">
      <w:pPr>
        <w:contextualSpacing/>
        <w:jc w:val="both"/>
        <w:rPr>
          <w:b/>
        </w:rPr>
      </w:pPr>
      <w:r>
        <w:rPr>
          <w:b/>
        </w:rPr>
        <w:br w:type="page"/>
      </w:r>
    </w:p>
    <w:p w14:paraId="353FEB07" w14:textId="77777777" w:rsidR="00D66F03" w:rsidRPr="00CD5A46" w:rsidRDefault="00D66F03" w:rsidP="008818E0">
      <w:pPr>
        <w:pStyle w:val="Heading1"/>
        <w:numPr>
          <w:ilvl w:val="0"/>
          <w:numId w:val="0"/>
        </w:numPr>
        <w:spacing w:before="0" w:after="0"/>
        <w:contextualSpacing/>
        <w:jc w:val="both"/>
      </w:pPr>
      <w:bookmarkStart w:id="238" w:name="_Toc375572572"/>
      <w:r w:rsidRPr="00CD5A46">
        <w:lastRenderedPageBreak/>
        <w:t>Annex</w:t>
      </w:r>
      <w:r w:rsidR="00B675AF">
        <w:t xml:space="preserve"> </w:t>
      </w:r>
      <w:r w:rsidR="001609C1" w:rsidRPr="00AE001E">
        <w:rPr>
          <w:highlight w:val="yellow"/>
        </w:rPr>
        <w:t>D</w:t>
      </w:r>
      <w:r w:rsidRPr="00B675AF">
        <w:t>:</w:t>
      </w:r>
      <w:r w:rsidRPr="00CD5A46">
        <w:t xml:space="preserve"> Signing Form</w:t>
      </w:r>
      <w:bookmarkEnd w:id="238"/>
      <w:r w:rsidRPr="00CD5A46">
        <w:t xml:space="preserve"> </w:t>
      </w:r>
    </w:p>
    <w:p w14:paraId="702849BA" w14:textId="77777777" w:rsidR="00D66F03" w:rsidRPr="00CD5A46" w:rsidRDefault="00D66F03" w:rsidP="008818E0">
      <w:pPr>
        <w:contextualSpacing/>
        <w:jc w:val="both"/>
      </w:pPr>
    </w:p>
    <w:p w14:paraId="54A14AC6" w14:textId="77777777" w:rsidR="00D66F03" w:rsidRPr="00CD5A46" w:rsidRDefault="00D66F03" w:rsidP="008818E0">
      <w:pPr>
        <w:contextualSpacing/>
        <w:jc w:val="both"/>
      </w:pPr>
      <w:r w:rsidRPr="00CD5A46">
        <w:t>The organisation/company/</w:t>
      </w:r>
    </w:p>
    <w:p w14:paraId="4ABE5E7A" w14:textId="77777777" w:rsidR="00D66F03" w:rsidRPr="00CD5A46" w:rsidRDefault="00D66F03" w:rsidP="008818E0">
      <w:pPr>
        <w:contextualSpacing/>
        <w:jc w:val="both"/>
      </w:pPr>
      <w:r w:rsidRPr="00CD5A46">
        <w:t xml:space="preserve"> ………………………………………………………………..</w:t>
      </w:r>
    </w:p>
    <w:p w14:paraId="043B5247" w14:textId="77777777" w:rsidR="00D66F03" w:rsidRPr="00CD5A46" w:rsidRDefault="00D66F03" w:rsidP="008818E0">
      <w:pPr>
        <w:contextualSpacing/>
        <w:jc w:val="both"/>
      </w:pPr>
    </w:p>
    <w:p w14:paraId="72D02D1B" w14:textId="77777777" w:rsidR="00B9432E" w:rsidRDefault="00B9432E" w:rsidP="008818E0">
      <w:pPr>
        <w:contextualSpacing/>
        <w:jc w:val="both"/>
      </w:pPr>
      <w:r>
        <w:t>Signs this I</w:t>
      </w:r>
      <w:r w:rsidRPr="00CD5A46">
        <w:t xml:space="preserve">ndustry </w:t>
      </w:r>
      <w:r>
        <w:t>V</w:t>
      </w:r>
      <w:r w:rsidRPr="00CD5A46">
        <w:t xml:space="preserve">oluntary </w:t>
      </w:r>
      <w:r>
        <w:t>A</w:t>
      </w:r>
      <w:r w:rsidRPr="00CD5A46">
        <w:t>greement to improve the environmental performance of imaging equipment placed on the European market.</w:t>
      </w:r>
    </w:p>
    <w:p w14:paraId="375F514E" w14:textId="77777777" w:rsidR="00B9432E" w:rsidRPr="00CD5A46" w:rsidRDefault="00B9432E" w:rsidP="008818E0">
      <w:pPr>
        <w:contextualSpacing/>
        <w:jc w:val="both"/>
      </w:pPr>
    </w:p>
    <w:p w14:paraId="5EBEF7C6" w14:textId="77777777" w:rsidR="00D66F03" w:rsidRPr="00CD5A46" w:rsidRDefault="00D66F03" w:rsidP="008818E0">
      <w:pPr>
        <w:contextualSpacing/>
        <w:jc w:val="both"/>
      </w:pPr>
    </w:p>
    <w:p w14:paraId="5F3449FC" w14:textId="77777777" w:rsidR="00D66F03" w:rsidRPr="00CD5A46" w:rsidRDefault="00D66F03" w:rsidP="008818E0">
      <w:pPr>
        <w:contextualSpacing/>
        <w:jc w:val="both"/>
      </w:pPr>
    </w:p>
    <w:p w14:paraId="74072754" w14:textId="77777777" w:rsidR="00D66F03" w:rsidRPr="00CD5A46" w:rsidRDefault="00D66F03" w:rsidP="008818E0">
      <w:pPr>
        <w:contextualSpacing/>
        <w:jc w:val="both"/>
      </w:pPr>
      <w:r w:rsidRPr="00CD5A46">
        <w:t xml:space="preserve">For the </w:t>
      </w:r>
      <w:r w:rsidR="009412E0" w:rsidRPr="00CD5A46">
        <w:t xml:space="preserve">Signatory </w:t>
      </w:r>
    </w:p>
    <w:p w14:paraId="517CB91A" w14:textId="77777777" w:rsidR="00D66F03" w:rsidRPr="00CD5A46" w:rsidRDefault="00D66F03" w:rsidP="008818E0">
      <w:pPr>
        <w:contextualSpacing/>
        <w:jc w:val="both"/>
      </w:pPr>
    </w:p>
    <w:p w14:paraId="38D5F064" w14:textId="77777777" w:rsidR="00D66F03" w:rsidRPr="00CD5A46" w:rsidRDefault="00D66F03" w:rsidP="008818E0">
      <w:pPr>
        <w:contextualSpacing/>
        <w:jc w:val="both"/>
      </w:pPr>
      <w:r w:rsidRPr="00CD5A46">
        <w:t>Director or person authorised to sign:</w:t>
      </w:r>
    </w:p>
    <w:p w14:paraId="0273ECEC" w14:textId="77777777" w:rsidR="00D66F03" w:rsidRPr="00CD5A46" w:rsidRDefault="00D66F03" w:rsidP="008818E0">
      <w:pPr>
        <w:contextualSpacing/>
        <w:jc w:val="both"/>
      </w:pPr>
    </w:p>
    <w:p w14:paraId="3454BCE0" w14:textId="77777777" w:rsidR="00D66F03" w:rsidRPr="00CD5A46" w:rsidRDefault="00D66F03" w:rsidP="008818E0">
      <w:pPr>
        <w:contextualSpacing/>
        <w:jc w:val="both"/>
      </w:pPr>
      <w:r w:rsidRPr="00CD5A46">
        <w:t>Name</w:t>
      </w:r>
      <w:proofErr w:type="gramStart"/>
      <w:r w:rsidRPr="00CD5A46">
        <w:t xml:space="preserve">: </w:t>
      </w:r>
      <w:r w:rsidRPr="00CD5A46">
        <w:tab/>
        <w:t>………………………………</w:t>
      </w:r>
      <w:r w:rsidR="006864E2" w:rsidRPr="00CD5A46">
        <w:t>………………</w:t>
      </w:r>
      <w:proofErr w:type="gramEnd"/>
    </w:p>
    <w:p w14:paraId="31DEBE7C" w14:textId="77777777" w:rsidR="00D66F03" w:rsidRPr="00CD5A46" w:rsidRDefault="00D66F03" w:rsidP="008818E0">
      <w:pPr>
        <w:contextualSpacing/>
        <w:jc w:val="both"/>
      </w:pPr>
      <w:r w:rsidRPr="00CD5A46">
        <w:t>Function</w:t>
      </w:r>
      <w:proofErr w:type="gramStart"/>
      <w:r w:rsidRPr="00CD5A46">
        <w:t>:………………………………</w:t>
      </w:r>
      <w:r w:rsidR="006864E2" w:rsidRPr="00CD5A46">
        <w:t>……………..</w:t>
      </w:r>
      <w:proofErr w:type="gramEnd"/>
    </w:p>
    <w:p w14:paraId="493E751C" w14:textId="77777777" w:rsidR="00D66F03" w:rsidRPr="00CD5A46" w:rsidRDefault="00D66F03" w:rsidP="008818E0">
      <w:pPr>
        <w:contextualSpacing/>
        <w:jc w:val="both"/>
      </w:pPr>
      <w:r w:rsidRPr="00CD5A46">
        <w:t>Address</w:t>
      </w:r>
      <w:proofErr w:type="gramStart"/>
      <w:r w:rsidR="006864E2" w:rsidRPr="00CD5A46">
        <w:t>:</w:t>
      </w:r>
      <w:r w:rsidRPr="00CD5A46">
        <w:t>…</w:t>
      </w:r>
      <w:r w:rsidR="006864E2" w:rsidRPr="00CD5A46">
        <w:t>…………………………………………..</w:t>
      </w:r>
      <w:proofErr w:type="gramEnd"/>
    </w:p>
    <w:p w14:paraId="7C1F99BF" w14:textId="77777777" w:rsidR="006864E2" w:rsidRPr="00CD5A46" w:rsidRDefault="006864E2" w:rsidP="008818E0">
      <w:pPr>
        <w:contextualSpacing/>
        <w:jc w:val="both"/>
      </w:pPr>
      <w:r w:rsidRPr="00CD5A46">
        <w:tab/>
        <w:t>………………………………………………</w:t>
      </w:r>
    </w:p>
    <w:p w14:paraId="635A27C6" w14:textId="77777777" w:rsidR="006864E2" w:rsidRPr="00CD5A46" w:rsidRDefault="006864E2" w:rsidP="008818E0">
      <w:pPr>
        <w:contextualSpacing/>
        <w:jc w:val="both"/>
      </w:pPr>
      <w:r w:rsidRPr="00CD5A46">
        <w:tab/>
        <w:t>………………………………………………</w:t>
      </w:r>
    </w:p>
    <w:p w14:paraId="14B4CCA5" w14:textId="77777777" w:rsidR="006864E2" w:rsidRPr="00CD5A46" w:rsidRDefault="006864E2" w:rsidP="008818E0">
      <w:pPr>
        <w:ind w:firstLine="720"/>
        <w:contextualSpacing/>
        <w:jc w:val="both"/>
      </w:pPr>
      <w:r w:rsidRPr="00CD5A46">
        <w:t>..……………………………………………..</w:t>
      </w:r>
    </w:p>
    <w:p w14:paraId="771B9720" w14:textId="77777777" w:rsidR="00D66F03" w:rsidRPr="00CD5A46" w:rsidRDefault="00D66F03" w:rsidP="008818E0">
      <w:pPr>
        <w:contextualSpacing/>
        <w:jc w:val="both"/>
      </w:pPr>
    </w:p>
    <w:p w14:paraId="7881A7E0" w14:textId="77777777" w:rsidR="00D66F03" w:rsidRPr="00CD5A46" w:rsidRDefault="00BF4589" w:rsidP="008818E0">
      <w:pPr>
        <w:contextualSpacing/>
        <w:jc w:val="both"/>
      </w:pPr>
      <w:r w:rsidRPr="00CD5A46">
        <w:t>Date: ………………………………….</w:t>
      </w:r>
    </w:p>
    <w:p w14:paraId="211222F4" w14:textId="77777777" w:rsidR="00D66F03" w:rsidRPr="00CD5A46" w:rsidRDefault="00D66F03" w:rsidP="008818E0">
      <w:pPr>
        <w:contextualSpacing/>
        <w:jc w:val="both"/>
      </w:pPr>
      <w:r w:rsidRPr="00CD5A46">
        <w:t>Signature………………………………….</w:t>
      </w:r>
    </w:p>
    <w:p w14:paraId="4FD3B7BE" w14:textId="77777777" w:rsidR="00D66F03" w:rsidRPr="00CD5A46" w:rsidRDefault="00D66F03" w:rsidP="008818E0">
      <w:pPr>
        <w:contextualSpacing/>
        <w:jc w:val="both"/>
      </w:pPr>
    </w:p>
    <w:p w14:paraId="083CCA58" w14:textId="77777777" w:rsidR="006864E2" w:rsidRPr="00CD5A46" w:rsidRDefault="006864E2" w:rsidP="008818E0">
      <w:pPr>
        <w:contextualSpacing/>
        <w:jc w:val="both"/>
      </w:pPr>
    </w:p>
    <w:p w14:paraId="1F2B4F0A" w14:textId="77777777" w:rsidR="00D66F03" w:rsidRPr="00CD5A46" w:rsidRDefault="00D66F03" w:rsidP="008818E0">
      <w:pPr>
        <w:contextualSpacing/>
        <w:jc w:val="both"/>
      </w:pPr>
      <w:r w:rsidRPr="00CD5A46">
        <w:t>Contact Person for the Organisation/Company</w:t>
      </w:r>
      <w:r w:rsidR="006864E2" w:rsidRPr="00CD5A46">
        <w:t>:</w:t>
      </w:r>
    </w:p>
    <w:p w14:paraId="5B83E788" w14:textId="77777777" w:rsidR="006864E2" w:rsidRPr="00CD5A46" w:rsidRDefault="006864E2" w:rsidP="008818E0">
      <w:pPr>
        <w:contextualSpacing/>
        <w:jc w:val="both"/>
      </w:pPr>
      <w:r w:rsidRPr="00CD5A46">
        <w:t>Name</w:t>
      </w:r>
      <w:proofErr w:type="gramStart"/>
      <w:r w:rsidRPr="00CD5A46">
        <w:t xml:space="preserve">: </w:t>
      </w:r>
      <w:r w:rsidRPr="00CD5A46">
        <w:tab/>
        <w:t>………………………………………………</w:t>
      </w:r>
      <w:proofErr w:type="gramEnd"/>
    </w:p>
    <w:p w14:paraId="6E562F62" w14:textId="77777777" w:rsidR="006864E2" w:rsidRPr="00CD5A46" w:rsidRDefault="006864E2" w:rsidP="008818E0">
      <w:pPr>
        <w:contextualSpacing/>
        <w:jc w:val="both"/>
      </w:pPr>
      <w:r w:rsidRPr="00CD5A46">
        <w:t>Function</w:t>
      </w:r>
      <w:proofErr w:type="gramStart"/>
      <w:r w:rsidRPr="00CD5A46">
        <w:t>:……………………………………………..</w:t>
      </w:r>
      <w:proofErr w:type="gramEnd"/>
    </w:p>
    <w:p w14:paraId="7B64C0C7" w14:textId="77777777" w:rsidR="00D66F03" w:rsidRPr="00CD5A46" w:rsidRDefault="006864E2" w:rsidP="008818E0">
      <w:pPr>
        <w:contextualSpacing/>
        <w:jc w:val="both"/>
      </w:pPr>
      <w:r w:rsidRPr="00CD5A46">
        <w:t>Email</w:t>
      </w:r>
      <w:proofErr w:type="gramStart"/>
      <w:r w:rsidRPr="00CD5A46">
        <w:t>:………………………………………………...</w:t>
      </w:r>
      <w:proofErr w:type="gramEnd"/>
    </w:p>
    <w:p w14:paraId="63448DFF" w14:textId="77777777" w:rsidR="006864E2" w:rsidRPr="00CD5A46" w:rsidRDefault="006864E2" w:rsidP="008818E0">
      <w:pPr>
        <w:contextualSpacing/>
        <w:jc w:val="both"/>
      </w:pPr>
      <w:r w:rsidRPr="00CD5A46">
        <w:t>Telephone</w:t>
      </w:r>
      <w:proofErr w:type="gramStart"/>
      <w:r w:rsidRPr="00CD5A46">
        <w:t>:…………………………………………..</w:t>
      </w:r>
      <w:proofErr w:type="gramEnd"/>
    </w:p>
    <w:p w14:paraId="58086BA4" w14:textId="77777777" w:rsidR="00D66F03" w:rsidRPr="00CD5A46" w:rsidRDefault="00D66F03" w:rsidP="008818E0">
      <w:pPr>
        <w:contextualSpacing/>
        <w:jc w:val="both"/>
      </w:pPr>
    </w:p>
    <w:p w14:paraId="56166405" w14:textId="77777777" w:rsidR="006864E2" w:rsidRPr="00CD5A46" w:rsidRDefault="006864E2" w:rsidP="008818E0">
      <w:pPr>
        <w:autoSpaceDE w:val="0"/>
        <w:autoSpaceDN w:val="0"/>
        <w:adjustRightInd w:val="0"/>
        <w:contextualSpacing/>
        <w:jc w:val="both"/>
      </w:pPr>
    </w:p>
    <w:p w14:paraId="3407EDCE" w14:textId="77777777" w:rsidR="006864E2" w:rsidRPr="00CD5A46" w:rsidRDefault="006864E2" w:rsidP="008818E0">
      <w:pPr>
        <w:autoSpaceDE w:val="0"/>
        <w:autoSpaceDN w:val="0"/>
        <w:adjustRightInd w:val="0"/>
        <w:contextualSpacing/>
        <w:jc w:val="both"/>
      </w:pPr>
    </w:p>
    <w:p w14:paraId="2F3AD772" w14:textId="77777777" w:rsidR="006864E2" w:rsidRPr="00CD5A46" w:rsidRDefault="006864E2" w:rsidP="008818E0">
      <w:pPr>
        <w:autoSpaceDE w:val="0"/>
        <w:autoSpaceDN w:val="0"/>
        <w:adjustRightInd w:val="0"/>
        <w:contextualSpacing/>
        <w:jc w:val="both"/>
      </w:pPr>
    </w:p>
    <w:p w14:paraId="7F68018F" w14:textId="77777777" w:rsidR="006864E2" w:rsidRPr="00CD5A46" w:rsidRDefault="006864E2" w:rsidP="008818E0">
      <w:pPr>
        <w:autoSpaceDE w:val="0"/>
        <w:autoSpaceDN w:val="0"/>
        <w:adjustRightInd w:val="0"/>
        <w:contextualSpacing/>
        <w:jc w:val="both"/>
      </w:pPr>
      <w:r w:rsidRPr="00CD5A46">
        <w:t>Please send a duly signed and completed Signing Form to:</w:t>
      </w:r>
    </w:p>
    <w:p w14:paraId="5410C049" w14:textId="77777777" w:rsidR="006F5D22" w:rsidRPr="00930D24" w:rsidRDefault="008E725D" w:rsidP="008818E0">
      <w:pPr>
        <w:autoSpaceDE w:val="0"/>
        <w:autoSpaceDN w:val="0"/>
        <w:adjustRightInd w:val="0"/>
        <w:contextualSpacing/>
        <w:jc w:val="both"/>
        <w:rPr>
          <w:lang w:val="fr-BE"/>
        </w:rPr>
      </w:pPr>
      <w:r w:rsidRPr="00930D24">
        <w:rPr>
          <w:lang w:val="fr-BE"/>
        </w:rPr>
        <w:t>EuroVAprint</w:t>
      </w:r>
    </w:p>
    <w:p w14:paraId="21AD9BBE" w14:textId="77777777" w:rsidR="006F5D22" w:rsidRPr="00930D24" w:rsidRDefault="008E725D" w:rsidP="008818E0">
      <w:pPr>
        <w:autoSpaceDE w:val="0"/>
        <w:autoSpaceDN w:val="0"/>
        <w:adjustRightInd w:val="0"/>
        <w:contextualSpacing/>
        <w:jc w:val="both"/>
        <w:rPr>
          <w:lang w:val="fr-BE"/>
        </w:rPr>
      </w:pPr>
      <w:r w:rsidRPr="00930D24">
        <w:rPr>
          <w:lang w:val="fr-BE"/>
        </w:rPr>
        <w:t xml:space="preserve">52 rue </w:t>
      </w:r>
      <w:proofErr w:type="spellStart"/>
      <w:r w:rsidRPr="00930D24">
        <w:rPr>
          <w:lang w:val="fr-BE"/>
        </w:rPr>
        <w:t>Defacqz</w:t>
      </w:r>
      <w:proofErr w:type="spellEnd"/>
    </w:p>
    <w:p w14:paraId="1C3C9F18" w14:textId="77777777" w:rsidR="006F5D22" w:rsidRPr="00930D24" w:rsidRDefault="008E725D" w:rsidP="008818E0">
      <w:pPr>
        <w:autoSpaceDE w:val="0"/>
        <w:autoSpaceDN w:val="0"/>
        <w:adjustRightInd w:val="0"/>
        <w:contextualSpacing/>
        <w:jc w:val="both"/>
        <w:rPr>
          <w:lang w:val="fr-BE"/>
        </w:rPr>
      </w:pPr>
      <w:r w:rsidRPr="00930D24">
        <w:rPr>
          <w:lang w:val="fr-BE"/>
        </w:rPr>
        <w:t>1050 Brussels</w:t>
      </w:r>
    </w:p>
    <w:p w14:paraId="5CB011BE" w14:textId="77777777" w:rsidR="006F5D22" w:rsidRPr="00930D24" w:rsidRDefault="008E725D" w:rsidP="008818E0">
      <w:pPr>
        <w:autoSpaceDE w:val="0"/>
        <w:autoSpaceDN w:val="0"/>
        <w:adjustRightInd w:val="0"/>
        <w:contextualSpacing/>
        <w:jc w:val="both"/>
        <w:rPr>
          <w:lang w:val="fr-BE"/>
        </w:rPr>
      </w:pPr>
      <w:proofErr w:type="spellStart"/>
      <w:r w:rsidRPr="00930D24">
        <w:rPr>
          <w:lang w:val="fr-BE"/>
        </w:rPr>
        <w:t>Belgium</w:t>
      </w:r>
      <w:proofErr w:type="spellEnd"/>
    </w:p>
    <w:p w14:paraId="69A57E70" w14:textId="77777777" w:rsidR="006F5D22" w:rsidRPr="00930D24" w:rsidRDefault="006B76BF" w:rsidP="008818E0">
      <w:pPr>
        <w:autoSpaceDE w:val="0"/>
        <w:autoSpaceDN w:val="0"/>
        <w:adjustRightInd w:val="0"/>
        <w:contextualSpacing/>
        <w:jc w:val="both"/>
        <w:rPr>
          <w:lang w:val="fr-BE"/>
        </w:rPr>
      </w:pPr>
      <w:hyperlink r:id="rId12" w:history="1">
        <w:r w:rsidR="008E725D" w:rsidRPr="00930D24">
          <w:rPr>
            <w:rStyle w:val="Hyperlink"/>
            <w:lang w:val="fr-BE"/>
          </w:rPr>
          <w:t>secretariat@eurovaprint.eu</w:t>
        </w:r>
      </w:hyperlink>
    </w:p>
    <w:p w14:paraId="0CF0756B" w14:textId="77777777" w:rsidR="006F5D22" w:rsidRPr="00ED0762" w:rsidRDefault="006B76BF" w:rsidP="008818E0">
      <w:pPr>
        <w:autoSpaceDE w:val="0"/>
        <w:autoSpaceDN w:val="0"/>
        <w:adjustRightInd w:val="0"/>
        <w:contextualSpacing/>
        <w:jc w:val="both"/>
        <w:rPr>
          <w:lang w:val="en-US"/>
        </w:rPr>
      </w:pPr>
      <w:hyperlink r:id="rId13" w:history="1">
        <w:r w:rsidR="002F3EB9" w:rsidRPr="00ED0762">
          <w:rPr>
            <w:rStyle w:val="Hyperlink"/>
            <w:lang w:val="en-US"/>
          </w:rPr>
          <w:t>www.eurovaprint.eu</w:t>
        </w:r>
      </w:hyperlink>
    </w:p>
    <w:p w14:paraId="7FD53E78" w14:textId="77777777" w:rsidR="00334024" w:rsidRPr="00ED0762" w:rsidRDefault="00334024" w:rsidP="008818E0">
      <w:pPr>
        <w:autoSpaceDE w:val="0"/>
        <w:autoSpaceDN w:val="0"/>
        <w:adjustRightInd w:val="0"/>
        <w:contextualSpacing/>
        <w:jc w:val="both"/>
        <w:rPr>
          <w:lang w:val="en-US"/>
        </w:rPr>
      </w:pPr>
    </w:p>
    <w:p w14:paraId="32CA6F11" w14:textId="77777777" w:rsidR="00334024" w:rsidRPr="00ED0762" w:rsidRDefault="00334024" w:rsidP="008818E0">
      <w:pPr>
        <w:contextualSpacing/>
        <w:jc w:val="both"/>
        <w:rPr>
          <w:lang w:val="en-US"/>
        </w:rPr>
      </w:pPr>
    </w:p>
    <w:p w14:paraId="1B13A131" w14:textId="77777777" w:rsidR="00334024" w:rsidRPr="00ED0762" w:rsidRDefault="00334024" w:rsidP="008818E0">
      <w:pPr>
        <w:contextualSpacing/>
        <w:jc w:val="both"/>
        <w:rPr>
          <w:lang w:val="en-US"/>
        </w:rPr>
      </w:pPr>
    </w:p>
    <w:p w14:paraId="5B1B8940" w14:textId="77777777" w:rsidR="00334024" w:rsidRPr="00ED0762" w:rsidRDefault="00334024" w:rsidP="008818E0">
      <w:pPr>
        <w:contextualSpacing/>
        <w:jc w:val="both"/>
        <w:rPr>
          <w:lang w:val="en-US"/>
        </w:rPr>
      </w:pPr>
    </w:p>
    <w:p w14:paraId="4A6D3BC9" w14:textId="77777777" w:rsidR="00334024" w:rsidRPr="00CD5A46" w:rsidRDefault="00F7482D" w:rsidP="008818E0">
      <w:pPr>
        <w:pStyle w:val="Heading1"/>
        <w:numPr>
          <w:ilvl w:val="0"/>
          <w:numId w:val="0"/>
        </w:numPr>
        <w:spacing w:before="0" w:after="0"/>
        <w:contextualSpacing/>
        <w:jc w:val="both"/>
      </w:pPr>
      <w:r w:rsidRPr="009664EF">
        <w:rPr>
          <w:lang w:val="en-US"/>
        </w:rPr>
        <w:br w:type="page"/>
      </w:r>
      <w:bookmarkStart w:id="239" w:name="_Toc369266452"/>
      <w:bookmarkStart w:id="240" w:name="_Toc375572573"/>
      <w:r w:rsidR="0030449D" w:rsidRPr="00CD5A46">
        <w:lastRenderedPageBreak/>
        <w:t>Annex E</w:t>
      </w:r>
      <w:r w:rsidR="00F662FA" w:rsidRPr="00CD5A46">
        <w:t xml:space="preserve">: </w:t>
      </w:r>
      <w:r w:rsidR="00495605" w:rsidRPr="00CD5A46">
        <w:t>E</w:t>
      </w:r>
      <w:r w:rsidR="007118A7" w:rsidRPr="00CD5A46">
        <w:t>xample of Product Environmental Information</w:t>
      </w:r>
      <w:bookmarkEnd w:id="239"/>
      <w:bookmarkEnd w:id="240"/>
    </w:p>
    <w:p w14:paraId="5B9B5832" w14:textId="77777777" w:rsidR="007118A7" w:rsidRPr="00CD5A46" w:rsidRDefault="007118A7" w:rsidP="008818E0">
      <w:pPr>
        <w:contextualSpacing/>
        <w:jc w:val="both"/>
      </w:pPr>
    </w:p>
    <w:p w14:paraId="71936F9F" w14:textId="77777777" w:rsidR="007118A7" w:rsidRPr="00CD5A46" w:rsidRDefault="0038343B" w:rsidP="008818E0">
      <w:pPr>
        <w:contextualSpacing/>
        <w:jc w:val="both"/>
      </w:pPr>
      <w:r w:rsidRPr="00CD5A46">
        <w:t xml:space="preserve">Following is an example of product environmental information provided by </w:t>
      </w:r>
      <w:r w:rsidR="005719CA" w:rsidRPr="00CD5A46">
        <w:t>Signatories</w:t>
      </w:r>
      <w:r w:rsidRPr="00CD5A46">
        <w:t xml:space="preserve">, based on the ECMA 370 standard. Other standard formats can be used by </w:t>
      </w:r>
      <w:r w:rsidR="005719CA" w:rsidRPr="00CD5A46">
        <w:t>Signatories</w:t>
      </w:r>
      <w:r w:rsidRPr="00CD5A46">
        <w:t>.</w:t>
      </w:r>
    </w:p>
    <w:p w14:paraId="7D413E9B" w14:textId="77777777" w:rsidR="00A96858" w:rsidRPr="003F1EE4" w:rsidRDefault="00A96858" w:rsidP="008818E0">
      <w:pPr>
        <w:contextualSpacing/>
        <w:jc w:val="both"/>
      </w:pPr>
    </w:p>
    <w:sectPr w:rsidR="00A96858" w:rsidRPr="003F1EE4" w:rsidSect="007D1786">
      <w:footerReference w:type="default" r:id="rId14"/>
      <w:type w:val="continuous"/>
      <w:pgSz w:w="11906" w:h="16840"/>
      <w:pgMar w:top="1440" w:right="1440" w:bottom="1440" w:left="1440" w:header="72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32BFE" w14:textId="77777777" w:rsidR="006B76BF" w:rsidRDefault="006B76BF">
      <w:r>
        <w:separator/>
      </w:r>
    </w:p>
  </w:endnote>
  <w:endnote w:type="continuationSeparator" w:id="0">
    <w:p w14:paraId="1A3E2B54" w14:textId="77777777" w:rsidR="006B76BF" w:rsidRDefault="006B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A00002BF" w:usb1="68C7FCFB" w:usb2="00000010" w:usb3="00000000" w:csb0="0002009F" w:csb1="00000000"/>
  </w:font>
  <w:font w:name="Arial (W1)">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700015"/>
      <w:docPartObj>
        <w:docPartGallery w:val="Page Numbers (Bottom of Page)"/>
        <w:docPartUnique/>
      </w:docPartObj>
    </w:sdtPr>
    <w:sdtEndPr>
      <w:rPr>
        <w:noProof/>
      </w:rPr>
    </w:sdtEndPr>
    <w:sdtContent>
      <w:p w14:paraId="4189DC15" w14:textId="30A5E9F0" w:rsidR="00815CD6" w:rsidRDefault="00815CD6">
        <w:pPr>
          <w:pStyle w:val="Footer"/>
          <w:jc w:val="right"/>
        </w:pPr>
        <w:r>
          <w:fldChar w:fldCharType="begin"/>
        </w:r>
        <w:r>
          <w:instrText xml:space="preserve"> PAGE   \* MERGEFORMAT </w:instrText>
        </w:r>
        <w:r>
          <w:fldChar w:fldCharType="separate"/>
        </w:r>
        <w:r w:rsidR="00C1781E">
          <w:rPr>
            <w:noProof/>
          </w:rPr>
          <w:t>2</w:t>
        </w:r>
        <w:r>
          <w:rPr>
            <w:noProof/>
          </w:rPr>
          <w:fldChar w:fldCharType="end"/>
        </w:r>
      </w:p>
    </w:sdtContent>
  </w:sdt>
  <w:p w14:paraId="59C0A455" w14:textId="77777777" w:rsidR="0070729D" w:rsidRDefault="0070729D" w:rsidP="00B5517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AFAF3" w14:textId="77777777" w:rsidR="006B76BF" w:rsidRDefault="006B76BF">
      <w:r>
        <w:separator/>
      </w:r>
    </w:p>
  </w:footnote>
  <w:footnote w:type="continuationSeparator" w:id="0">
    <w:p w14:paraId="181617A0" w14:textId="77777777" w:rsidR="006B76BF" w:rsidRDefault="006B76BF">
      <w:r>
        <w:continuationSeparator/>
      </w:r>
    </w:p>
  </w:footnote>
  <w:footnote w:id="1">
    <w:p w14:paraId="19C53335" w14:textId="3B38BF6D" w:rsidR="0070729D" w:rsidRPr="00777DCC" w:rsidRDefault="0070729D" w:rsidP="00777DCC">
      <w:pPr>
        <w:pStyle w:val="bodytext"/>
        <w:spacing w:after="0" w:afterAutospacing="0"/>
        <w:jc w:val="both"/>
        <w:rPr>
          <w:rFonts w:ascii="Arial" w:hAnsi="Arial" w:cs="Arial"/>
          <w:sz w:val="16"/>
          <w:szCs w:val="16"/>
          <w:highlight w:val="yellow"/>
        </w:rPr>
      </w:pPr>
      <w:r w:rsidRPr="00777DCC">
        <w:rPr>
          <w:rStyle w:val="FootnoteReference"/>
          <w:rFonts w:ascii="Arial" w:hAnsi="Arial" w:cs="Arial"/>
          <w:sz w:val="16"/>
          <w:szCs w:val="16"/>
          <w:highlight w:val="yellow"/>
        </w:rPr>
        <w:footnoteRef/>
      </w:r>
      <w:r w:rsidRPr="00777DCC">
        <w:rPr>
          <w:rFonts w:ascii="Arial" w:hAnsi="Arial" w:cs="Arial"/>
          <w:sz w:val="16"/>
          <w:szCs w:val="16"/>
          <w:highlight w:val="yellow"/>
        </w:rPr>
        <w:t xml:space="preserve"> EuroVAprint is a not-for-profit association bringing together all manufacturers of imaging equipment that operate in Europe and have signed the present Voluntary Agreement. The association provides the legal and administrative means to supervise the implementation and monitoring of the present set of binding commitments made by its members. See </w:t>
      </w:r>
      <w:hyperlink r:id="rId1" w:history="1">
        <w:r w:rsidRPr="00777DCC">
          <w:rPr>
            <w:rStyle w:val="Hyperlink"/>
            <w:rFonts w:ascii="Arial" w:hAnsi="Arial" w:cs="Arial"/>
            <w:sz w:val="16"/>
            <w:szCs w:val="16"/>
            <w:highlight w:val="yellow"/>
          </w:rPr>
          <w:t>www.eurovaprint.eu</w:t>
        </w:r>
      </w:hyperlink>
      <w:r w:rsidRPr="00777DCC">
        <w:rPr>
          <w:rFonts w:ascii="Arial" w:hAnsi="Arial" w:cs="Arial"/>
          <w:sz w:val="16"/>
          <w:szCs w:val="16"/>
          <w:highlight w:val="yellow"/>
        </w:rPr>
        <w:t xml:space="preserve"> for details</w:t>
      </w:r>
    </w:p>
  </w:footnote>
  <w:footnote w:id="2">
    <w:p w14:paraId="3D4A2A75" w14:textId="71D4A9BA" w:rsidR="0070729D" w:rsidRPr="00777DCC" w:rsidRDefault="0070729D" w:rsidP="00777DCC">
      <w:pPr>
        <w:kinsoku w:val="0"/>
        <w:overflowPunct w:val="0"/>
        <w:autoSpaceDE w:val="0"/>
        <w:autoSpaceDN w:val="0"/>
        <w:adjustRightInd w:val="0"/>
        <w:ind w:right="1255"/>
        <w:jc w:val="both"/>
        <w:rPr>
          <w:rFonts w:eastAsia="Times New Roman"/>
          <w:bCs/>
          <w:iCs/>
          <w:spacing w:val="-28"/>
          <w:w w:val="105"/>
          <w:sz w:val="16"/>
          <w:szCs w:val="16"/>
          <w:highlight w:val="yellow"/>
          <w:lang w:eastAsia="en-US"/>
        </w:rPr>
      </w:pPr>
      <w:r w:rsidRPr="00777DCC">
        <w:rPr>
          <w:rStyle w:val="FootnoteReference"/>
          <w:sz w:val="16"/>
          <w:szCs w:val="16"/>
          <w:highlight w:val="yellow"/>
        </w:rPr>
        <w:footnoteRef/>
      </w:r>
      <w:r w:rsidR="008F1FB7">
        <w:rPr>
          <w:sz w:val="16"/>
          <w:szCs w:val="16"/>
          <w:highlight w:val="yellow"/>
        </w:rPr>
        <w:t xml:space="preserve"> </w:t>
      </w:r>
      <w:r w:rsidRPr="00777DCC">
        <w:rPr>
          <w:sz w:val="16"/>
          <w:szCs w:val="16"/>
          <w:highlight w:val="yellow"/>
        </w:rPr>
        <w:t xml:space="preserve">Source: </w:t>
      </w:r>
      <w:r w:rsidRPr="00777DCC">
        <w:rPr>
          <w:rFonts w:eastAsia="Times New Roman"/>
          <w:bCs/>
          <w:spacing w:val="-1"/>
          <w:w w:val="105"/>
          <w:sz w:val="16"/>
          <w:szCs w:val="16"/>
          <w:highlight w:val="yellow"/>
          <w:lang w:eastAsia="en-US"/>
        </w:rPr>
        <w:t>Commission</w:t>
      </w:r>
      <w:r w:rsidRPr="00777DCC">
        <w:rPr>
          <w:rFonts w:eastAsia="Times New Roman"/>
          <w:bCs/>
          <w:spacing w:val="-35"/>
          <w:w w:val="105"/>
          <w:sz w:val="16"/>
          <w:szCs w:val="16"/>
          <w:highlight w:val="yellow"/>
          <w:lang w:eastAsia="en-US"/>
        </w:rPr>
        <w:t xml:space="preserve"> </w:t>
      </w:r>
      <w:r w:rsidRPr="00777DCC">
        <w:rPr>
          <w:rFonts w:eastAsia="Times New Roman"/>
          <w:bCs/>
          <w:w w:val="105"/>
          <w:sz w:val="16"/>
          <w:szCs w:val="16"/>
          <w:highlight w:val="yellow"/>
          <w:lang w:eastAsia="en-US"/>
        </w:rPr>
        <w:t>Staff</w:t>
      </w:r>
      <w:r w:rsidRPr="00777DCC">
        <w:rPr>
          <w:rFonts w:eastAsia="Times New Roman"/>
          <w:bCs/>
          <w:spacing w:val="-34"/>
          <w:w w:val="105"/>
          <w:sz w:val="16"/>
          <w:szCs w:val="16"/>
          <w:highlight w:val="yellow"/>
          <w:lang w:eastAsia="en-US"/>
        </w:rPr>
        <w:t xml:space="preserve">  </w:t>
      </w:r>
      <w:r w:rsidRPr="00777DCC">
        <w:rPr>
          <w:rFonts w:eastAsia="Times New Roman"/>
          <w:bCs/>
          <w:spacing w:val="-1"/>
          <w:w w:val="105"/>
          <w:sz w:val="16"/>
          <w:szCs w:val="16"/>
          <w:highlight w:val="yellow"/>
          <w:lang w:eastAsia="en-US"/>
        </w:rPr>
        <w:t>Working</w:t>
      </w:r>
      <w:r w:rsidRPr="00777DCC">
        <w:rPr>
          <w:rFonts w:eastAsia="Times New Roman"/>
          <w:bCs/>
          <w:spacing w:val="-35"/>
          <w:w w:val="105"/>
          <w:sz w:val="16"/>
          <w:szCs w:val="16"/>
          <w:highlight w:val="yellow"/>
          <w:lang w:eastAsia="en-US"/>
        </w:rPr>
        <w:t xml:space="preserve"> </w:t>
      </w:r>
      <w:r w:rsidRPr="00777DCC">
        <w:rPr>
          <w:rFonts w:eastAsia="Times New Roman"/>
          <w:bCs/>
          <w:spacing w:val="-1"/>
          <w:w w:val="105"/>
          <w:sz w:val="16"/>
          <w:szCs w:val="16"/>
          <w:highlight w:val="yellow"/>
          <w:lang w:eastAsia="en-US"/>
        </w:rPr>
        <w:t>Document - Executive</w:t>
      </w:r>
      <w:r w:rsidRPr="00777DCC">
        <w:rPr>
          <w:rFonts w:eastAsia="Times New Roman"/>
          <w:bCs/>
          <w:spacing w:val="-25"/>
          <w:w w:val="105"/>
          <w:sz w:val="16"/>
          <w:szCs w:val="16"/>
          <w:highlight w:val="yellow"/>
          <w:lang w:eastAsia="en-US"/>
        </w:rPr>
        <w:t xml:space="preserve"> </w:t>
      </w:r>
      <w:r w:rsidRPr="00777DCC">
        <w:rPr>
          <w:rFonts w:eastAsia="Times New Roman"/>
          <w:bCs/>
          <w:spacing w:val="-1"/>
          <w:w w:val="105"/>
          <w:sz w:val="16"/>
          <w:szCs w:val="16"/>
          <w:highlight w:val="yellow"/>
          <w:lang w:eastAsia="en-US"/>
        </w:rPr>
        <w:t>Summary</w:t>
      </w:r>
      <w:r w:rsidRPr="00777DCC">
        <w:rPr>
          <w:rFonts w:eastAsia="Times New Roman"/>
          <w:bCs/>
          <w:spacing w:val="-25"/>
          <w:w w:val="105"/>
          <w:sz w:val="16"/>
          <w:szCs w:val="16"/>
          <w:highlight w:val="yellow"/>
          <w:lang w:eastAsia="en-US"/>
        </w:rPr>
        <w:t xml:space="preserve"> </w:t>
      </w:r>
      <w:r w:rsidRPr="00777DCC">
        <w:rPr>
          <w:rFonts w:eastAsia="Times New Roman"/>
          <w:bCs/>
          <w:w w:val="105"/>
          <w:sz w:val="16"/>
          <w:szCs w:val="16"/>
          <w:highlight w:val="yellow"/>
          <w:lang w:eastAsia="en-US"/>
        </w:rPr>
        <w:t>of</w:t>
      </w:r>
      <w:r w:rsidRPr="00777DCC">
        <w:rPr>
          <w:rFonts w:eastAsia="Times New Roman"/>
          <w:bCs/>
          <w:spacing w:val="-26"/>
          <w:w w:val="105"/>
          <w:sz w:val="16"/>
          <w:szCs w:val="16"/>
          <w:highlight w:val="yellow"/>
          <w:lang w:eastAsia="en-US"/>
        </w:rPr>
        <w:t xml:space="preserve"> </w:t>
      </w:r>
      <w:r w:rsidRPr="00777DCC">
        <w:rPr>
          <w:rFonts w:eastAsia="Times New Roman"/>
          <w:bCs/>
          <w:w w:val="105"/>
          <w:sz w:val="16"/>
          <w:szCs w:val="16"/>
          <w:highlight w:val="yellow"/>
          <w:lang w:eastAsia="en-US"/>
        </w:rPr>
        <w:t>the</w:t>
      </w:r>
      <w:r w:rsidRPr="00777DCC">
        <w:rPr>
          <w:rFonts w:eastAsia="Times New Roman"/>
          <w:bCs/>
          <w:spacing w:val="-25"/>
          <w:w w:val="105"/>
          <w:sz w:val="16"/>
          <w:szCs w:val="16"/>
          <w:highlight w:val="yellow"/>
          <w:lang w:eastAsia="en-US"/>
        </w:rPr>
        <w:t xml:space="preserve"> </w:t>
      </w:r>
      <w:r w:rsidRPr="00777DCC">
        <w:rPr>
          <w:rFonts w:eastAsia="Times New Roman"/>
          <w:bCs/>
          <w:spacing w:val="-1"/>
          <w:w w:val="105"/>
          <w:sz w:val="16"/>
          <w:szCs w:val="16"/>
          <w:highlight w:val="yellow"/>
          <w:lang w:eastAsia="en-US"/>
        </w:rPr>
        <w:t>Impact</w:t>
      </w:r>
      <w:r w:rsidRPr="00777DCC">
        <w:rPr>
          <w:rFonts w:eastAsia="Times New Roman"/>
          <w:bCs/>
          <w:spacing w:val="-23"/>
          <w:w w:val="105"/>
          <w:sz w:val="16"/>
          <w:szCs w:val="16"/>
          <w:highlight w:val="yellow"/>
          <w:lang w:eastAsia="en-US"/>
        </w:rPr>
        <w:t xml:space="preserve"> </w:t>
      </w:r>
      <w:r w:rsidRPr="00777DCC">
        <w:rPr>
          <w:rFonts w:eastAsia="Times New Roman"/>
          <w:bCs/>
          <w:spacing w:val="-1"/>
          <w:w w:val="105"/>
          <w:sz w:val="16"/>
          <w:szCs w:val="16"/>
          <w:highlight w:val="yellow"/>
          <w:lang w:eastAsia="en-US"/>
        </w:rPr>
        <w:t xml:space="preserve">Assessment </w:t>
      </w:r>
      <w:r w:rsidRPr="00777DCC">
        <w:rPr>
          <w:rFonts w:eastAsia="Times New Roman"/>
          <w:bCs/>
          <w:iCs/>
          <w:spacing w:val="-1"/>
          <w:w w:val="105"/>
          <w:sz w:val="16"/>
          <w:szCs w:val="16"/>
          <w:highlight w:val="yellow"/>
          <w:lang w:eastAsia="en-US"/>
        </w:rPr>
        <w:t>Accompanying</w:t>
      </w:r>
      <w:r w:rsidRPr="00777DCC">
        <w:rPr>
          <w:rFonts w:eastAsia="Times New Roman"/>
          <w:bCs/>
          <w:iCs/>
          <w:spacing w:val="-30"/>
          <w:w w:val="105"/>
          <w:sz w:val="16"/>
          <w:szCs w:val="16"/>
          <w:highlight w:val="yellow"/>
          <w:lang w:eastAsia="en-US"/>
        </w:rPr>
        <w:t xml:space="preserve"> </w:t>
      </w:r>
      <w:r w:rsidRPr="00777DCC">
        <w:rPr>
          <w:rFonts w:eastAsia="Times New Roman"/>
          <w:bCs/>
          <w:iCs/>
          <w:w w:val="105"/>
          <w:sz w:val="16"/>
          <w:szCs w:val="16"/>
          <w:highlight w:val="yellow"/>
          <w:lang w:eastAsia="en-US"/>
        </w:rPr>
        <w:t>the</w:t>
      </w:r>
    </w:p>
    <w:p w14:paraId="3CB8C34F" w14:textId="28738E54" w:rsidR="0070729D" w:rsidRPr="00777DCC" w:rsidRDefault="0070729D" w:rsidP="00777DCC">
      <w:pPr>
        <w:kinsoku w:val="0"/>
        <w:overflowPunct w:val="0"/>
        <w:autoSpaceDE w:val="0"/>
        <w:autoSpaceDN w:val="0"/>
        <w:adjustRightInd w:val="0"/>
        <w:ind w:right="1255"/>
        <w:jc w:val="both"/>
        <w:rPr>
          <w:sz w:val="16"/>
          <w:szCs w:val="16"/>
          <w:highlight w:val="yellow"/>
        </w:rPr>
      </w:pPr>
      <w:r w:rsidRPr="00777DCC">
        <w:rPr>
          <w:rFonts w:eastAsia="Times New Roman"/>
          <w:bCs/>
          <w:iCs/>
          <w:spacing w:val="-1"/>
          <w:w w:val="105"/>
          <w:sz w:val="16"/>
          <w:szCs w:val="16"/>
          <w:highlight w:val="yellow"/>
          <w:lang w:eastAsia="en-US"/>
        </w:rPr>
        <w:t xml:space="preserve">document </w:t>
      </w:r>
      <w:r w:rsidRPr="00777DCC">
        <w:rPr>
          <w:rFonts w:eastAsia="Times New Roman"/>
          <w:bCs/>
          <w:spacing w:val="-1"/>
          <w:w w:val="105"/>
          <w:sz w:val="16"/>
          <w:szCs w:val="16"/>
          <w:highlight w:val="yellow"/>
          <w:lang w:eastAsia="en-US"/>
        </w:rPr>
        <w:t>Report</w:t>
      </w:r>
      <w:r w:rsidRPr="00777DCC">
        <w:rPr>
          <w:rFonts w:eastAsia="Times New Roman"/>
          <w:bCs/>
          <w:spacing w:val="-19"/>
          <w:w w:val="105"/>
          <w:sz w:val="16"/>
          <w:szCs w:val="16"/>
          <w:highlight w:val="yellow"/>
          <w:lang w:eastAsia="en-US"/>
        </w:rPr>
        <w:t xml:space="preserve"> </w:t>
      </w:r>
      <w:r w:rsidRPr="00777DCC">
        <w:rPr>
          <w:rFonts w:eastAsia="Times New Roman"/>
          <w:bCs/>
          <w:spacing w:val="-3"/>
          <w:w w:val="105"/>
          <w:sz w:val="16"/>
          <w:szCs w:val="16"/>
          <w:highlight w:val="yellow"/>
          <w:lang w:eastAsia="en-US"/>
        </w:rPr>
        <w:t>from</w:t>
      </w:r>
      <w:r w:rsidRPr="00777DCC">
        <w:rPr>
          <w:rFonts w:eastAsia="Times New Roman"/>
          <w:bCs/>
          <w:spacing w:val="-20"/>
          <w:w w:val="105"/>
          <w:sz w:val="16"/>
          <w:szCs w:val="16"/>
          <w:highlight w:val="yellow"/>
          <w:lang w:eastAsia="en-US"/>
        </w:rPr>
        <w:t xml:space="preserve"> </w:t>
      </w:r>
      <w:r w:rsidRPr="00777DCC">
        <w:rPr>
          <w:rFonts w:eastAsia="Times New Roman"/>
          <w:bCs/>
          <w:w w:val="105"/>
          <w:sz w:val="16"/>
          <w:szCs w:val="16"/>
          <w:highlight w:val="yellow"/>
          <w:lang w:eastAsia="en-US"/>
        </w:rPr>
        <w:t>the</w:t>
      </w:r>
      <w:r w:rsidRPr="00777DCC">
        <w:rPr>
          <w:rFonts w:eastAsia="Times New Roman"/>
          <w:bCs/>
          <w:spacing w:val="-20"/>
          <w:w w:val="105"/>
          <w:sz w:val="16"/>
          <w:szCs w:val="16"/>
          <w:highlight w:val="yellow"/>
          <w:lang w:eastAsia="en-US"/>
        </w:rPr>
        <w:t xml:space="preserve"> </w:t>
      </w:r>
      <w:r w:rsidRPr="00777DCC">
        <w:rPr>
          <w:rFonts w:eastAsia="Times New Roman"/>
          <w:bCs/>
          <w:spacing w:val="-1"/>
          <w:w w:val="105"/>
          <w:sz w:val="16"/>
          <w:szCs w:val="16"/>
          <w:highlight w:val="yellow"/>
          <w:lang w:eastAsia="en-US"/>
        </w:rPr>
        <w:t>Commission</w:t>
      </w:r>
      <w:r w:rsidRPr="00777DCC">
        <w:rPr>
          <w:rFonts w:eastAsia="Times New Roman"/>
          <w:bCs/>
          <w:spacing w:val="-20"/>
          <w:w w:val="105"/>
          <w:sz w:val="16"/>
          <w:szCs w:val="16"/>
          <w:highlight w:val="yellow"/>
          <w:lang w:eastAsia="en-US"/>
        </w:rPr>
        <w:t xml:space="preserve"> </w:t>
      </w:r>
      <w:r w:rsidRPr="00777DCC">
        <w:rPr>
          <w:rFonts w:eastAsia="Times New Roman"/>
          <w:bCs/>
          <w:spacing w:val="-1"/>
          <w:w w:val="105"/>
          <w:sz w:val="16"/>
          <w:szCs w:val="16"/>
          <w:highlight w:val="yellow"/>
          <w:lang w:eastAsia="en-US"/>
        </w:rPr>
        <w:t>to</w:t>
      </w:r>
      <w:r w:rsidRPr="00777DCC">
        <w:rPr>
          <w:rFonts w:eastAsia="Times New Roman"/>
          <w:bCs/>
          <w:spacing w:val="-20"/>
          <w:w w:val="105"/>
          <w:sz w:val="16"/>
          <w:szCs w:val="16"/>
          <w:highlight w:val="yellow"/>
          <w:lang w:eastAsia="en-US"/>
        </w:rPr>
        <w:t xml:space="preserve"> </w:t>
      </w:r>
      <w:r w:rsidRPr="00777DCC">
        <w:rPr>
          <w:rFonts w:eastAsia="Times New Roman"/>
          <w:bCs/>
          <w:spacing w:val="-3"/>
          <w:w w:val="105"/>
          <w:sz w:val="16"/>
          <w:szCs w:val="16"/>
          <w:highlight w:val="yellow"/>
          <w:lang w:eastAsia="en-US"/>
        </w:rPr>
        <w:t>the</w:t>
      </w:r>
      <w:r w:rsidRPr="00777DCC">
        <w:rPr>
          <w:rFonts w:eastAsia="Times New Roman"/>
          <w:bCs/>
          <w:spacing w:val="-20"/>
          <w:w w:val="105"/>
          <w:sz w:val="16"/>
          <w:szCs w:val="16"/>
          <w:highlight w:val="yellow"/>
          <w:lang w:eastAsia="en-US"/>
        </w:rPr>
        <w:t xml:space="preserve"> </w:t>
      </w:r>
      <w:r w:rsidRPr="00777DCC">
        <w:rPr>
          <w:rFonts w:eastAsia="Times New Roman"/>
          <w:bCs/>
          <w:spacing w:val="-1"/>
          <w:w w:val="105"/>
          <w:sz w:val="16"/>
          <w:szCs w:val="16"/>
          <w:highlight w:val="yellow"/>
          <w:lang w:eastAsia="en-US"/>
        </w:rPr>
        <w:t>European</w:t>
      </w:r>
      <w:r w:rsidRPr="00777DCC">
        <w:rPr>
          <w:rFonts w:eastAsia="Times New Roman"/>
          <w:bCs/>
          <w:spacing w:val="-18"/>
          <w:w w:val="105"/>
          <w:sz w:val="16"/>
          <w:szCs w:val="16"/>
          <w:highlight w:val="yellow"/>
          <w:lang w:eastAsia="en-US"/>
        </w:rPr>
        <w:t xml:space="preserve"> </w:t>
      </w:r>
      <w:r w:rsidRPr="00777DCC">
        <w:rPr>
          <w:rFonts w:eastAsia="Times New Roman"/>
          <w:bCs/>
          <w:spacing w:val="-1"/>
          <w:w w:val="105"/>
          <w:sz w:val="16"/>
          <w:szCs w:val="16"/>
          <w:highlight w:val="yellow"/>
          <w:lang w:eastAsia="en-US"/>
        </w:rPr>
        <w:t>Parliament</w:t>
      </w:r>
      <w:r w:rsidRPr="00777DCC">
        <w:rPr>
          <w:rFonts w:eastAsia="Times New Roman"/>
          <w:bCs/>
          <w:spacing w:val="-20"/>
          <w:w w:val="105"/>
          <w:sz w:val="16"/>
          <w:szCs w:val="16"/>
          <w:highlight w:val="yellow"/>
          <w:lang w:eastAsia="en-US"/>
        </w:rPr>
        <w:t xml:space="preserve"> </w:t>
      </w:r>
      <w:r w:rsidRPr="00777DCC">
        <w:rPr>
          <w:rFonts w:eastAsia="Times New Roman"/>
          <w:bCs/>
          <w:spacing w:val="-1"/>
          <w:w w:val="105"/>
          <w:sz w:val="16"/>
          <w:szCs w:val="16"/>
          <w:highlight w:val="yellow"/>
          <w:lang w:eastAsia="en-US"/>
        </w:rPr>
        <w:t>and</w:t>
      </w:r>
      <w:r w:rsidRPr="00777DCC">
        <w:rPr>
          <w:rFonts w:eastAsia="Times New Roman"/>
          <w:bCs/>
          <w:spacing w:val="51"/>
          <w:w w:val="103"/>
          <w:sz w:val="16"/>
          <w:szCs w:val="16"/>
          <w:highlight w:val="yellow"/>
          <w:lang w:eastAsia="en-US"/>
        </w:rPr>
        <w:t xml:space="preserve"> </w:t>
      </w:r>
      <w:r w:rsidRPr="00777DCC">
        <w:rPr>
          <w:rFonts w:eastAsia="Times New Roman"/>
          <w:bCs/>
          <w:w w:val="105"/>
          <w:sz w:val="16"/>
          <w:szCs w:val="16"/>
          <w:highlight w:val="yellow"/>
          <w:lang w:eastAsia="en-US"/>
        </w:rPr>
        <w:t>the</w:t>
      </w:r>
      <w:r w:rsidRPr="00777DCC">
        <w:rPr>
          <w:rFonts w:eastAsia="Times New Roman"/>
          <w:bCs/>
          <w:spacing w:val="-33"/>
          <w:w w:val="105"/>
          <w:sz w:val="16"/>
          <w:szCs w:val="16"/>
          <w:highlight w:val="yellow"/>
          <w:lang w:eastAsia="en-US"/>
        </w:rPr>
        <w:t xml:space="preserve"> </w:t>
      </w:r>
      <w:r w:rsidRPr="00777DCC">
        <w:rPr>
          <w:rFonts w:eastAsia="Times New Roman"/>
          <w:bCs/>
          <w:spacing w:val="-1"/>
          <w:w w:val="105"/>
          <w:sz w:val="16"/>
          <w:szCs w:val="16"/>
          <w:highlight w:val="yellow"/>
          <w:lang w:eastAsia="en-US"/>
        </w:rPr>
        <w:t>Council o</w:t>
      </w:r>
      <w:r w:rsidRPr="00777DCC">
        <w:rPr>
          <w:rFonts w:eastAsia="Times New Roman"/>
          <w:bCs/>
          <w:w w:val="105"/>
          <w:sz w:val="16"/>
          <w:szCs w:val="16"/>
          <w:highlight w:val="yellow"/>
          <w:lang w:eastAsia="en-US"/>
        </w:rPr>
        <w:t>n</w:t>
      </w:r>
      <w:r w:rsidRPr="00777DCC">
        <w:rPr>
          <w:rFonts w:eastAsia="Times New Roman"/>
          <w:bCs/>
          <w:spacing w:val="-17"/>
          <w:w w:val="105"/>
          <w:sz w:val="16"/>
          <w:szCs w:val="16"/>
          <w:highlight w:val="yellow"/>
          <w:lang w:eastAsia="en-US"/>
        </w:rPr>
        <w:t xml:space="preserve"> </w:t>
      </w:r>
      <w:r w:rsidRPr="00777DCC">
        <w:rPr>
          <w:rFonts w:eastAsia="Times New Roman"/>
          <w:bCs/>
          <w:spacing w:val="-1"/>
          <w:w w:val="105"/>
          <w:sz w:val="16"/>
          <w:szCs w:val="16"/>
          <w:highlight w:val="yellow"/>
          <w:lang w:eastAsia="en-US"/>
        </w:rPr>
        <w:t>the</w:t>
      </w:r>
      <w:r w:rsidRPr="00777DCC">
        <w:rPr>
          <w:rFonts w:eastAsia="Times New Roman"/>
          <w:bCs/>
          <w:spacing w:val="-17"/>
          <w:w w:val="105"/>
          <w:sz w:val="16"/>
          <w:szCs w:val="16"/>
          <w:highlight w:val="yellow"/>
          <w:lang w:eastAsia="en-US"/>
        </w:rPr>
        <w:t xml:space="preserve"> </w:t>
      </w:r>
      <w:r w:rsidRPr="00777DCC">
        <w:rPr>
          <w:rFonts w:eastAsia="Times New Roman"/>
          <w:bCs/>
          <w:spacing w:val="-1"/>
          <w:w w:val="105"/>
          <w:sz w:val="16"/>
          <w:szCs w:val="16"/>
          <w:highlight w:val="yellow"/>
          <w:lang w:eastAsia="en-US"/>
        </w:rPr>
        <w:t>Voluntary</w:t>
      </w:r>
      <w:r w:rsidRPr="00777DCC">
        <w:rPr>
          <w:rFonts w:eastAsia="Times New Roman"/>
          <w:bCs/>
          <w:spacing w:val="-17"/>
          <w:w w:val="105"/>
          <w:sz w:val="16"/>
          <w:szCs w:val="16"/>
          <w:highlight w:val="yellow"/>
          <w:lang w:eastAsia="en-US"/>
        </w:rPr>
        <w:t xml:space="preserve"> </w:t>
      </w:r>
      <w:proofErr w:type="spellStart"/>
      <w:r w:rsidRPr="00777DCC">
        <w:rPr>
          <w:rFonts w:eastAsia="Times New Roman"/>
          <w:bCs/>
          <w:spacing w:val="-1"/>
          <w:w w:val="105"/>
          <w:sz w:val="16"/>
          <w:szCs w:val="16"/>
          <w:highlight w:val="yellow"/>
          <w:lang w:eastAsia="en-US"/>
        </w:rPr>
        <w:t>Ecodesign</w:t>
      </w:r>
      <w:proofErr w:type="spellEnd"/>
      <w:r w:rsidRPr="00777DCC">
        <w:rPr>
          <w:rFonts w:eastAsia="Times New Roman"/>
          <w:bCs/>
          <w:spacing w:val="-17"/>
          <w:w w:val="105"/>
          <w:sz w:val="16"/>
          <w:szCs w:val="16"/>
          <w:highlight w:val="yellow"/>
          <w:lang w:eastAsia="en-US"/>
        </w:rPr>
        <w:t xml:space="preserve"> </w:t>
      </w:r>
      <w:r w:rsidRPr="00777DCC">
        <w:rPr>
          <w:rFonts w:eastAsia="Times New Roman"/>
          <w:bCs/>
          <w:spacing w:val="-1"/>
          <w:w w:val="105"/>
          <w:sz w:val="16"/>
          <w:szCs w:val="16"/>
          <w:highlight w:val="yellow"/>
          <w:lang w:eastAsia="en-US"/>
        </w:rPr>
        <w:t>Scheme</w:t>
      </w:r>
      <w:r w:rsidRPr="00777DCC">
        <w:rPr>
          <w:rFonts w:eastAsia="Times New Roman"/>
          <w:bCs/>
          <w:spacing w:val="-17"/>
          <w:w w:val="105"/>
          <w:sz w:val="16"/>
          <w:szCs w:val="16"/>
          <w:highlight w:val="yellow"/>
          <w:lang w:eastAsia="en-US"/>
        </w:rPr>
        <w:t xml:space="preserve"> </w:t>
      </w:r>
      <w:r w:rsidRPr="00777DCC">
        <w:rPr>
          <w:rFonts w:eastAsia="Times New Roman"/>
          <w:bCs/>
          <w:w w:val="105"/>
          <w:sz w:val="16"/>
          <w:szCs w:val="16"/>
          <w:highlight w:val="yellow"/>
          <w:lang w:eastAsia="en-US"/>
        </w:rPr>
        <w:t>for</w:t>
      </w:r>
      <w:r w:rsidRPr="00777DCC">
        <w:rPr>
          <w:rFonts w:eastAsia="Times New Roman"/>
          <w:bCs/>
          <w:spacing w:val="-18"/>
          <w:w w:val="105"/>
          <w:sz w:val="16"/>
          <w:szCs w:val="16"/>
          <w:highlight w:val="yellow"/>
          <w:lang w:eastAsia="en-US"/>
        </w:rPr>
        <w:t xml:space="preserve"> </w:t>
      </w:r>
      <w:r w:rsidRPr="00777DCC">
        <w:rPr>
          <w:rFonts w:eastAsia="Times New Roman"/>
          <w:bCs/>
          <w:spacing w:val="-1"/>
          <w:w w:val="105"/>
          <w:sz w:val="16"/>
          <w:szCs w:val="16"/>
          <w:highlight w:val="yellow"/>
          <w:lang w:eastAsia="en-US"/>
        </w:rPr>
        <w:t>Imaging</w:t>
      </w:r>
      <w:r w:rsidRPr="00777DCC">
        <w:rPr>
          <w:rFonts w:eastAsia="Times New Roman"/>
          <w:bCs/>
          <w:spacing w:val="-16"/>
          <w:w w:val="105"/>
          <w:sz w:val="16"/>
          <w:szCs w:val="16"/>
          <w:highlight w:val="yellow"/>
          <w:lang w:eastAsia="en-US"/>
        </w:rPr>
        <w:t xml:space="preserve"> </w:t>
      </w:r>
      <w:r w:rsidRPr="00777DCC">
        <w:rPr>
          <w:rFonts w:eastAsia="Times New Roman"/>
          <w:bCs/>
          <w:spacing w:val="-1"/>
          <w:w w:val="105"/>
          <w:sz w:val="16"/>
          <w:szCs w:val="16"/>
          <w:highlight w:val="yellow"/>
          <w:lang w:eastAsia="en-US"/>
        </w:rPr>
        <w:t>Equipment - COM(2013)</w:t>
      </w:r>
      <w:r w:rsidRPr="00777DCC">
        <w:rPr>
          <w:rFonts w:eastAsia="Times New Roman"/>
          <w:bCs/>
          <w:spacing w:val="-23"/>
          <w:w w:val="105"/>
          <w:sz w:val="16"/>
          <w:szCs w:val="16"/>
          <w:highlight w:val="yellow"/>
          <w:lang w:eastAsia="en-US"/>
        </w:rPr>
        <w:t xml:space="preserve"> </w:t>
      </w:r>
      <w:r w:rsidRPr="00777DCC">
        <w:rPr>
          <w:rFonts w:eastAsia="Times New Roman"/>
          <w:bCs/>
          <w:w w:val="105"/>
          <w:sz w:val="16"/>
          <w:szCs w:val="16"/>
          <w:highlight w:val="yellow"/>
          <w:lang w:eastAsia="en-US"/>
        </w:rPr>
        <w:t>23</w:t>
      </w:r>
      <w:r w:rsidRPr="00777DCC">
        <w:rPr>
          <w:rFonts w:eastAsia="Times New Roman"/>
          <w:bCs/>
          <w:spacing w:val="-22"/>
          <w:w w:val="105"/>
          <w:sz w:val="16"/>
          <w:szCs w:val="16"/>
          <w:highlight w:val="yellow"/>
          <w:lang w:eastAsia="en-US"/>
        </w:rPr>
        <w:t xml:space="preserve"> </w:t>
      </w:r>
      <w:r w:rsidRPr="00777DCC">
        <w:rPr>
          <w:rFonts w:eastAsia="Times New Roman"/>
          <w:bCs/>
          <w:spacing w:val="-1"/>
          <w:w w:val="105"/>
          <w:sz w:val="16"/>
          <w:szCs w:val="16"/>
          <w:highlight w:val="yellow"/>
          <w:lang w:eastAsia="en-US"/>
        </w:rPr>
        <w:t>final</w:t>
      </w:r>
    </w:p>
  </w:footnote>
  <w:footnote w:id="3">
    <w:p w14:paraId="661D7F03" w14:textId="2D04B3D4" w:rsidR="0070729D" w:rsidRPr="00777DCC" w:rsidRDefault="0070729D" w:rsidP="00777DCC">
      <w:pPr>
        <w:pStyle w:val="FootnoteText"/>
        <w:jc w:val="both"/>
      </w:pPr>
      <w:r w:rsidRPr="00777DCC">
        <w:rPr>
          <w:rStyle w:val="FootnoteReference"/>
          <w:sz w:val="16"/>
          <w:szCs w:val="16"/>
          <w:highlight w:val="yellow"/>
        </w:rPr>
        <w:footnoteRef/>
      </w:r>
      <w:r w:rsidRPr="00777DCC">
        <w:rPr>
          <w:sz w:val="16"/>
          <w:szCs w:val="16"/>
          <w:highlight w:val="yellow"/>
        </w:rPr>
        <w:t xml:space="preserve"> COM (2013) 23 final</w:t>
      </w:r>
    </w:p>
  </w:footnote>
  <w:footnote w:id="4">
    <w:p w14:paraId="6DABF217" w14:textId="77777777" w:rsidR="0070729D" w:rsidRPr="00C5565B" w:rsidRDefault="0070729D" w:rsidP="009B5C2C">
      <w:pPr>
        <w:pStyle w:val="FootnoteText"/>
        <w:rPr>
          <w:sz w:val="16"/>
          <w:szCs w:val="16"/>
          <w:highlight w:val="yellow"/>
          <w:lang w:eastAsia="en-US"/>
        </w:rPr>
      </w:pPr>
      <w:r w:rsidRPr="00C5565B">
        <w:rPr>
          <w:rStyle w:val="FootnoteReference"/>
          <w:sz w:val="16"/>
          <w:szCs w:val="16"/>
          <w:highlight w:val="yellow"/>
        </w:rPr>
        <w:footnoteRef/>
      </w:r>
      <w:r w:rsidRPr="00C5565B">
        <w:rPr>
          <w:sz w:val="16"/>
          <w:szCs w:val="16"/>
          <w:highlight w:val="yellow"/>
        </w:rPr>
        <w:t xml:space="preserve"> </w:t>
      </w:r>
      <w:r w:rsidRPr="00C5565B">
        <w:rPr>
          <w:sz w:val="16"/>
          <w:szCs w:val="16"/>
          <w:highlight w:val="yellow"/>
          <w:lang w:eastAsia="en-US"/>
        </w:rPr>
        <w:t>The EU ENERGY STAR</w:t>
      </w:r>
      <w:r w:rsidRPr="00C5565B">
        <w:rPr>
          <w:highlight w:val="yellow"/>
        </w:rPr>
        <w:t xml:space="preserve"> ® </w:t>
      </w:r>
      <w:r w:rsidRPr="00C5565B">
        <w:rPr>
          <w:sz w:val="16"/>
          <w:szCs w:val="16"/>
          <w:highlight w:val="yellow"/>
          <w:lang w:eastAsia="en-US"/>
        </w:rPr>
        <w:t xml:space="preserve">program follows an Agreement between the Government of the US and the European Union (EU) to co-ordinate energy labelling of office equipment. It is managed by the European Commission. US partner is the Environmental Protection Agency (EPA) that started the scheme in the US in 1992. Latest EU documents can be found at </w:t>
      </w:r>
    </w:p>
    <w:p w14:paraId="18FCDD00" w14:textId="706A1B44" w:rsidR="0070729D" w:rsidRPr="00E313ED" w:rsidRDefault="006B76BF" w:rsidP="009B5C2C">
      <w:pPr>
        <w:pStyle w:val="FootnoteText"/>
      </w:pPr>
      <w:hyperlink r:id="rId2" w:history="1">
        <w:r w:rsidR="0070729D" w:rsidRPr="00E2610D">
          <w:rPr>
            <w:rStyle w:val="Hyperlink"/>
            <w:sz w:val="16"/>
            <w:szCs w:val="16"/>
            <w:highlight w:val="yellow"/>
            <w:lang w:eastAsia="en-US"/>
          </w:rPr>
          <w:t>http://eur-lex.europa.eu/JOHtml.do?uri=OJ:L:2013:063:SOM:EN:HTML</w:t>
        </w:r>
      </w:hyperlink>
      <w:r w:rsidR="0070729D">
        <w:rPr>
          <w:sz w:val="16"/>
          <w:szCs w:val="16"/>
          <w:lang w:eastAsia="en-US"/>
        </w:rPr>
        <w:t xml:space="preserve"> </w:t>
      </w:r>
    </w:p>
  </w:footnote>
  <w:footnote w:id="5">
    <w:p w14:paraId="37B7144E" w14:textId="77777777" w:rsidR="0070729D" w:rsidRPr="002A6F9B" w:rsidRDefault="0070729D" w:rsidP="004C78E3">
      <w:pPr>
        <w:pStyle w:val="FootnoteText"/>
        <w:rPr>
          <w:sz w:val="16"/>
          <w:szCs w:val="16"/>
        </w:rPr>
      </w:pPr>
      <w:r w:rsidRPr="002A6F9B">
        <w:rPr>
          <w:rStyle w:val="FootnoteReference"/>
          <w:sz w:val="16"/>
          <w:szCs w:val="16"/>
        </w:rPr>
        <w:footnoteRef/>
      </w:r>
      <w:r w:rsidRPr="002A6F9B">
        <w:rPr>
          <w:sz w:val="16"/>
          <w:szCs w:val="16"/>
        </w:rPr>
        <w:t xml:space="preserve"> See OEM definition in Annex A below</w:t>
      </w:r>
    </w:p>
  </w:footnote>
  <w:footnote w:id="6">
    <w:p w14:paraId="0592BCDF" w14:textId="08C66D36" w:rsidR="0070729D" w:rsidRPr="00644C0F" w:rsidRDefault="0070729D">
      <w:pPr>
        <w:pStyle w:val="FootnoteText"/>
      </w:pPr>
      <w:r w:rsidRPr="00BE246E">
        <w:rPr>
          <w:rStyle w:val="FootnoteReference"/>
          <w:highlight w:val="yellow"/>
        </w:rPr>
        <w:footnoteRef/>
      </w:r>
      <w:r w:rsidRPr="00BE246E">
        <w:rPr>
          <w:highlight w:val="yellow"/>
        </w:rPr>
        <w:t xml:space="preserve"> </w:t>
      </w:r>
      <w:r w:rsidRPr="00BE246E">
        <w:rPr>
          <w:color w:val="000000"/>
          <w:sz w:val="16"/>
          <w:szCs w:val="16"/>
          <w:highlight w:val="yellow"/>
        </w:rPr>
        <w:t xml:space="preserve">ENERGY STAR </w:t>
      </w:r>
      <w:r w:rsidR="008503FB">
        <w:rPr>
          <w:color w:val="000000"/>
          <w:sz w:val="16"/>
          <w:szCs w:val="16"/>
          <w:highlight w:val="yellow"/>
        </w:rPr>
        <w:t xml:space="preserve">® </w:t>
      </w:r>
      <w:r w:rsidRPr="00BE246E">
        <w:rPr>
          <w:color w:val="000000"/>
          <w:sz w:val="16"/>
          <w:szCs w:val="16"/>
          <w:highlight w:val="yellow"/>
        </w:rPr>
        <w:t>Program Requirements for Imaging Equipment – Eligibility Criteria (Rev. Jun-2013)</w:t>
      </w:r>
    </w:p>
  </w:footnote>
  <w:footnote w:id="7">
    <w:p w14:paraId="696463E4" w14:textId="77777777" w:rsidR="0070729D" w:rsidRPr="00BD2733" w:rsidRDefault="0070729D" w:rsidP="00BD2733">
      <w:pPr>
        <w:pStyle w:val="FootnoteText"/>
        <w:jc w:val="both"/>
        <w:rPr>
          <w:sz w:val="18"/>
          <w:szCs w:val="18"/>
        </w:rPr>
      </w:pPr>
      <w:r w:rsidRPr="00BD2733">
        <w:rPr>
          <w:rStyle w:val="FootnoteReference"/>
          <w:sz w:val="18"/>
          <w:szCs w:val="18"/>
        </w:rPr>
        <w:footnoteRef/>
      </w:r>
      <w:r w:rsidRPr="00BD2733">
        <w:rPr>
          <w:sz w:val="18"/>
          <w:szCs w:val="18"/>
        </w:rPr>
        <w:t xml:space="preserve"> See definition in Annex A below.</w:t>
      </w:r>
    </w:p>
  </w:footnote>
  <w:footnote w:id="8">
    <w:p w14:paraId="18D4BF04" w14:textId="77777777" w:rsidR="0070729D" w:rsidRPr="00BD2733" w:rsidRDefault="0070729D" w:rsidP="00BD2733">
      <w:pPr>
        <w:pStyle w:val="FootnoteText"/>
        <w:jc w:val="both"/>
        <w:rPr>
          <w:sz w:val="18"/>
          <w:szCs w:val="18"/>
        </w:rPr>
      </w:pPr>
      <w:r w:rsidRPr="00BD2733">
        <w:rPr>
          <w:rStyle w:val="FootnoteReference"/>
          <w:sz w:val="18"/>
          <w:szCs w:val="18"/>
          <w:highlight w:val="yellow"/>
        </w:rPr>
        <w:footnoteRef/>
      </w:r>
      <w:r w:rsidRPr="00BD2733">
        <w:rPr>
          <w:sz w:val="18"/>
          <w:szCs w:val="18"/>
          <w:highlight w:val="yellow"/>
        </w:rPr>
        <w:t xml:space="preserve"> In increments of 0-5%, 5-10%, 10-15%, etc. A possible definition of postconsumer recycled plastic content can be found for example in EPEAT:</w:t>
      </w:r>
      <w:r w:rsidRPr="00BD2733">
        <w:rPr>
          <w:rFonts w:eastAsia="MS PGothic"/>
          <w:sz w:val="18"/>
          <w:szCs w:val="18"/>
          <w:highlight w:val="yellow"/>
        </w:rPr>
        <w:t xml:space="preserve"> A material or finished product that has served its intended use and has been discarded for disposal or recovery, having completed its life as a consumer item; part of the broader category of “recovered” items.</w:t>
      </w:r>
    </w:p>
  </w:footnote>
  <w:footnote w:id="9">
    <w:p w14:paraId="34590BA4" w14:textId="77777777" w:rsidR="0070729D" w:rsidRPr="00BD2733" w:rsidRDefault="0070729D" w:rsidP="00BD2733">
      <w:pPr>
        <w:pStyle w:val="FootnoteText"/>
        <w:jc w:val="both"/>
        <w:rPr>
          <w:sz w:val="18"/>
          <w:szCs w:val="18"/>
        </w:rPr>
      </w:pPr>
      <w:r w:rsidRPr="00BD2733">
        <w:rPr>
          <w:rStyle w:val="FootnoteReference"/>
          <w:sz w:val="18"/>
          <w:szCs w:val="18"/>
        </w:rPr>
        <w:footnoteRef/>
      </w:r>
      <w:r w:rsidRPr="00BD2733">
        <w:rPr>
          <w:sz w:val="18"/>
          <w:szCs w:val="18"/>
        </w:rPr>
        <w:t xml:space="preserve"> This can only be implemented when imaging equipment is managed through computers under mainstream Operating Systems (Microsoft Windows or Mac/OS) </w:t>
      </w:r>
    </w:p>
  </w:footnote>
  <w:footnote w:id="10">
    <w:p w14:paraId="57206632" w14:textId="77777777" w:rsidR="0070729D" w:rsidRPr="0058056E" w:rsidRDefault="0070729D" w:rsidP="00BD2733">
      <w:pPr>
        <w:pStyle w:val="FootnoteText"/>
        <w:jc w:val="both"/>
      </w:pPr>
      <w:r w:rsidRPr="00BD2733">
        <w:rPr>
          <w:rStyle w:val="FootnoteReference"/>
          <w:sz w:val="18"/>
          <w:szCs w:val="18"/>
        </w:rPr>
        <w:footnoteRef/>
      </w:r>
      <w:r w:rsidRPr="00BD2733">
        <w:rPr>
          <w:sz w:val="18"/>
          <w:szCs w:val="18"/>
        </w:rPr>
        <w:t xml:space="preserve"> Not all 5 statements mentioned in section 5.1.1 may be applicable to the product that is equipped with this information. Manufacturers are free to choose if they add a statement to this effect to the information, or leave out statements that are not applicable, such as the statement regarding electrophotography and duplex printing.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59B"/>
    <w:multiLevelType w:val="hybridMultilevel"/>
    <w:tmpl w:val="0E92613E"/>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E65A990E">
      <w:start w:val="1"/>
      <w:numFmt w:val="bullet"/>
      <w:lvlText w:val=""/>
      <w:lvlJc w:val="left"/>
      <w:pPr>
        <w:tabs>
          <w:tab w:val="num" w:pos="2160"/>
        </w:tabs>
        <w:ind w:left="2160" w:firstLine="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BE20EA5"/>
    <w:multiLevelType w:val="hybridMultilevel"/>
    <w:tmpl w:val="168A1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5940CD"/>
    <w:multiLevelType w:val="hybridMultilevel"/>
    <w:tmpl w:val="D4D20D7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E65A990E">
      <w:start w:val="1"/>
      <w:numFmt w:val="bullet"/>
      <w:lvlText w:val=""/>
      <w:lvlJc w:val="left"/>
      <w:pPr>
        <w:tabs>
          <w:tab w:val="num" w:pos="2160"/>
        </w:tabs>
        <w:ind w:left="2160" w:firstLine="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8634944"/>
    <w:multiLevelType w:val="hybridMultilevel"/>
    <w:tmpl w:val="CF442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612246"/>
    <w:multiLevelType w:val="hybridMultilevel"/>
    <w:tmpl w:val="11AC36D2"/>
    <w:lvl w:ilvl="0" w:tplc="697E93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F955195"/>
    <w:multiLevelType w:val="hybridMultilevel"/>
    <w:tmpl w:val="201AD4F6"/>
    <w:lvl w:ilvl="0" w:tplc="11401B56">
      <w:start w:val="4"/>
      <w:numFmt w:val="bullet"/>
      <w:lvlText w:val="-"/>
      <w:lvlJc w:val="left"/>
      <w:pPr>
        <w:tabs>
          <w:tab w:val="num" w:pos="990"/>
        </w:tabs>
        <w:ind w:left="990" w:hanging="360"/>
      </w:pPr>
      <w:rPr>
        <w:rFonts w:ascii="Arial" w:eastAsia="MS Mincho" w:hAnsi="Arial" w:cs="Aria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
    <w:nsid w:val="29A438C9"/>
    <w:multiLevelType w:val="hybridMultilevel"/>
    <w:tmpl w:val="A6E04BEC"/>
    <w:lvl w:ilvl="0" w:tplc="F5FE92FC">
      <w:start w:val="1"/>
      <w:numFmt w:val="decimal"/>
      <w:lvlText w:val="%1."/>
      <w:lvlJc w:val="left"/>
      <w:pPr>
        <w:ind w:left="720" w:hanging="360"/>
      </w:pPr>
      <w:rPr>
        <w:rFonts w:ascii="Arial" w:hAnsi="Arial" w:cs="Arial" w:hint="default"/>
        <w:b w:val="0"/>
        <w:sz w:val="20"/>
        <w:szCs w:val="20"/>
      </w:rPr>
    </w:lvl>
    <w:lvl w:ilvl="1" w:tplc="300C83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60736"/>
    <w:multiLevelType w:val="hybridMultilevel"/>
    <w:tmpl w:val="8F8A4B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2E5064CA"/>
    <w:multiLevelType w:val="hybridMultilevel"/>
    <w:tmpl w:val="A7EEF836"/>
    <w:lvl w:ilvl="0" w:tplc="E65A990E">
      <w:start w:val="1"/>
      <w:numFmt w:val="bullet"/>
      <w:lvlText w:val=""/>
      <w:lvlJc w:val="left"/>
      <w:pPr>
        <w:tabs>
          <w:tab w:val="num" w:pos="360"/>
        </w:tabs>
        <w:ind w:left="36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0667DE6"/>
    <w:multiLevelType w:val="hybridMultilevel"/>
    <w:tmpl w:val="67C675D4"/>
    <w:lvl w:ilvl="0" w:tplc="04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31612040"/>
    <w:multiLevelType w:val="hybridMultilevel"/>
    <w:tmpl w:val="F11C4D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4A433F4"/>
    <w:multiLevelType w:val="hybridMultilevel"/>
    <w:tmpl w:val="3CB65FBC"/>
    <w:lvl w:ilvl="0" w:tplc="1D303C40">
      <w:start w:val="1"/>
      <w:numFmt w:val="lowerLetter"/>
      <w:lvlText w:val="%1)"/>
      <w:lvlJc w:val="left"/>
      <w:pPr>
        <w:tabs>
          <w:tab w:val="num" w:pos="1080"/>
        </w:tabs>
        <w:ind w:left="1080" w:hanging="360"/>
      </w:pPr>
      <w:rPr>
        <w:rFonts w:ascii="Arial" w:hAnsi="Arial" w:cs="Arial" w:hint="default"/>
        <w:b w:val="0"/>
        <w:sz w:val="20"/>
        <w:szCs w:val="2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36546F86"/>
    <w:multiLevelType w:val="multilevel"/>
    <w:tmpl w:val="8D4AB7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hint="default"/>
        <w:caps w:val="0"/>
        <w:strike w:val="0"/>
        <w:dstrike w:val="0"/>
        <w:vanish w:val="0"/>
        <w:sz w:val="20"/>
        <w:vertAlign w:val="baseline"/>
      </w:rPr>
    </w:lvl>
    <w:lvl w:ilvl="2">
      <w:start w:val="1"/>
      <w:numFmt w:val="decimal"/>
      <w:lvlText w:val="%1.%2.%3"/>
      <w:lvlJc w:val="left"/>
      <w:pPr>
        <w:tabs>
          <w:tab w:val="num" w:pos="1080"/>
        </w:tabs>
        <w:ind w:left="1080" w:hanging="720"/>
      </w:pPr>
      <w:rPr>
        <w:rFonts w:ascii="Arial" w:hAnsi="Arial" w:hint="default"/>
        <w:caps w:val="0"/>
        <w:strike w:val="0"/>
        <w:dstrike w:val="0"/>
        <w:vanish w:val="0"/>
        <w:sz w:val="20"/>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AE52D36"/>
    <w:multiLevelType w:val="hybridMultilevel"/>
    <w:tmpl w:val="6C0EDEC2"/>
    <w:lvl w:ilvl="0" w:tplc="0809000F">
      <w:start w:val="1"/>
      <w:numFmt w:val="decimal"/>
      <w:lvlText w:val="%1."/>
      <w:lvlJc w:val="left"/>
      <w:pPr>
        <w:tabs>
          <w:tab w:val="num" w:pos="1440"/>
        </w:tabs>
        <w:ind w:left="1440" w:hanging="360"/>
      </w:pPr>
      <w:rPr>
        <w:rFonts w:hint="default"/>
      </w:rPr>
    </w:lvl>
    <w:lvl w:ilvl="1" w:tplc="0809000F">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3EAE5E12"/>
    <w:multiLevelType w:val="hybridMultilevel"/>
    <w:tmpl w:val="49B8832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nsid w:val="42573FAF"/>
    <w:multiLevelType w:val="hybridMultilevel"/>
    <w:tmpl w:val="B68A3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A07A21"/>
    <w:multiLevelType w:val="hybridMultilevel"/>
    <w:tmpl w:val="3EBC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66DD4"/>
    <w:multiLevelType w:val="hybridMultilevel"/>
    <w:tmpl w:val="77C8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0632F1"/>
    <w:multiLevelType w:val="hybridMultilevel"/>
    <w:tmpl w:val="1E1A0CF0"/>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nsid w:val="6793429B"/>
    <w:multiLevelType w:val="multilevel"/>
    <w:tmpl w:val="07B27BB2"/>
    <w:lvl w:ilvl="0">
      <w:start w:val="1"/>
      <w:numFmt w:val="decimal"/>
      <w:pStyle w:val="Heading1"/>
      <w:lvlText w:val="%1"/>
      <w:lvlJc w:val="left"/>
      <w:pPr>
        <w:tabs>
          <w:tab w:val="num" w:pos="792"/>
        </w:tabs>
        <w:ind w:left="792" w:hanging="432"/>
      </w:pPr>
      <w:rPr>
        <w:rFonts w:hint="default"/>
      </w:rPr>
    </w:lvl>
    <w:lvl w:ilvl="1">
      <w:start w:val="1"/>
      <w:numFmt w:val="decimal"/>
      <w:pStyle w:val="Heading2"/>
      <w:lvlText w:val="%1.%2"/>
      <w:lvlJc w:val="left"/>
      <w:pPr>
        <w:tabs>
          <w:tab w:val="num" w:pos="936"/>
        </w:tabs>
        <w:ind w:left="936" w:hanging="576"/>
      </w:pPr>
      <w:rPr>
        <w:rFonts w:ascii="Arial" w:hAnsi="Arial" w:hint="default"/>
        <w:caps w:val="0"/>
        <w:strike w:val="0"/>
        <w:dstrike w:val="0"/>
        <w:vanish w:val="0"/>
        <w:sz w:val="20"/>
        <w:vertAlign w:val="baseline"/>
      </w:rPr>
    </w:lvl>
    <w:lvl w:ilvl="2">
      <w:start w:val="1"/>
      <w:numFmt w:val="decimal"/>
      <w:pStyle w:val="Heading3"/>
      <w:lvlText w:val="%1.%2.%3"/>
      <w:lvlJc w:val="left"/>
      <w:pPr>
        <w:tabs>
          <w:tab w:val="num" w:pos="1855"/>
        </w:tabs>
        <w:ind w:left="1855" w:hanging="720"/>
      </w:pPr>
      <w:rPr>
        <w:rFonts w:ascii="Arial" w:hAnsi="Arial" w:hint="default"/>
        <w:caps w:val="0"/>
        <w:strike w:val="0"/>
        <w:dstrike w:val="0"/>
        <w:vanish w:val="0"/>
        <w:sz w:val="20"/>
        <w:vertAlign w:val="baseline"/>
      </w:rPr>
    </w:lvl>
    <w:lvl w:ilvl="3">
      <w:start w:val="1"/>
      <w:numFmt w:val="decimal"/>
      <w:pStyle w:val="Heading4"/>
      <w:lvlText w:val="%1.%2.%3.%4"/>
      <w:lvlJc w:val="left"/>
      <w:pPr>
        <w:tabs>
          <w:tab w:val="num" w:pos="1224"/>
        </w:tabs>
        <w:ind w:left="1224" w:hanging="864"/>
      </w:pPr>
      <w:rPr>
        <w:rFonts w:hint="default"/>
      </w:rPr>
    </w:lvl>
    <w:lvl w:ilvl="4">
      <w:start w:val="1"/>
      <w:numFmt w:val="decimal"/>
      <w:pStyle w:val="Heading5"/>
      <w:lvlText w:val="%1.%2.%3.%4.%5"/>
      <w:lvlJc w:val="left"/>
      <w:pPr>
        <w:tabs>
          <w:tab w:val="num" w:pos="1368"/>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20">
    <w:nsid w:val="6EE812D0"/>
    <w:multiLevelType w:val="hybridMultilevel"/>
    <w:tmpl w:val="C09CA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523FF9"/>
    <w:multiLevelType w:val="hybridMultilevel"/>
    <w:tmpl w:val="EC0ADC2C"/>
    <w:lvl w:ilvl="0" w:tplc="08090001">
      <w:start w:val="1"/>
      <w:numFmt w:val="bullet"/>
      <w:lvlText w:val=""/>
      <w:lvlJc w:val="left"/>
      <w:pPr>
        <w:ind w:left="2580" w:hanging="360"/>
      </w:pPr>
      <w:rPr>
        <w:rFonts w:ascii="Symbol" w:hAnsi="Symbo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22">
    <w:nsid w:val="76CD73E1"/>
    <w:multiLevelType w:val="hybridMultilevel"/>
    <w:tmpl w:val="C400E48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E1831FE"/>
    <w:multiLevelType w:val="hybridMultilevel"/>
    <w:tmpl w:val="36CC8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10"/>
  </w:num>
  <w:num w:numId="4">
    <w:abstractNumId w:val="18"/>
  </w:num>
  <w:num w:numId="5">
    <w:abstractNumId w:val="5"/>
  </w:num>
  <w:num w:numId="6">
    <w:abstractNumId w:val="13"/>
  </w:num>
  <w:num w:numId="7">
    <w:abstractNumId w:val="11"/>
  </w:num>
  <w:num w:numId="8">
    <w:abstractNumId w:val="15"/>
  </w:num>
  <w:num w:numId="9">
    <w:abstractNumId w:val="20"/>
  </w:num>
  <w:num w:numId="10">
    <w:abstractNumId w:val="16"/>
  </w:num>
  <w:num w:numId="11">
    <w:abstractNumId w:val="3"/>
  </w:num>
  <w:num w:numId="12">
    <w:abstractNumId w:val="21"/>
  </w:num>
  <w:num w:numId="13">
    <w:abstractNumId w:val="12"/>
  </w:num>
  <w:num w:numId="14">
    <w:abstractNumId w:val="19"/>
  </w:num>
  <w:num w:numId="15">
    <w:abstractNumId w:val="7"/>
  </w:num>
  <w:num w:numId="16">
    <w:abstractNumId w:val="1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num>
  <w:num w:numId="20">
    <w:abstractNumId w:val="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23"/>
  </w:num>
  <w:num w:numId="25">
    <w:abstractNumId w:val="14"/>
  </w:num>
  <w:num w:numId="26">
    <w:abstractNumId w:val="0"/>
  </w:num>
  <w:num w:numId="27">
    <w:abstractNumId w:val="19"/>
    <w:lvlOverride w:ilvl="0">
      <w:startOverride w:val="5"/>
    </w:lvlOverride>
    <w:lvlOverride w:ilvl="1">
      <w:startOverride w:val="3"/>
    </w:lvlOverride>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C2975"/>
    <w:rsid w:val="00000ABC"/>
    <w:rsid w:val="00000B79"/>
    <w:rsid w:val="00000CCE"/>
    <w:rsid w:val="00001901"/>
    <w:rsid w:val="00001C86"/>
    <w:rsid w:val="000020A7"/>
    <w:rsid w:val="000029F8"/>
    <w:rsid w:val="00003332"/>
    <w:rsid w:val="000040C2"/>
    <w:rsid w:val="00004169"/>
    <w:rsid w:val="000042B0"/>
    <w:rsid w:val="00004878"/>
    <w:rsid w:val="00005D3C"/>
    <w:rsid w:val="0000739E"/>
    <w:rsid w:val="0001073C"/>
    <w:rsid w:val="00010CA6"/>
    <w:rsid w:val="00011685"/>
    <w:rsid w:val="00012488"/>
    <w:rsid w:val="0001275E"/>
    <w:rsid w:val="00012EB8"/>
    <w:rsid w:val="000141D6"/>
    <w:rsid w:val="0001462E"/>
    <w:rsid w:val="000147FA"/>
    <w:rsid w:val="000150D3"/>
    <w:rsid w:val="00015152"/>
    <w:rsid w:val="000151F3"/>
    <w:rsid w:val="000159D0"/>
    <w:rsid w:val="000171C3"/>
    <w:rsid w:val="00020D68"/>
    <w:rsid w:val="00021CC4"/>
    <w:rsid w:val="00021F12"/>
    <w:rsid w:val="00022F4C"/>
    <w:rsid w:val="0002403A"/>
    <w:rsid w:val="000247A7"/>
    <w:rsid w:val="000247EB"/>
    <w:rsid w:val="00024945"/>
    <w:rsid w:val="000249D3"/>
    <w:rsid w:val="000253B0"/>
    <w:rsid w:val="00026271"/>
    <w:rsid w:val="00026B81"/>
    <w:rsid w:val="00027852"/>
    <w:rsid w:val="000278B8"/>
    <w:rsid w:val="00027A74"/>
    <w:rsid w:val="0003022C"/>
    <w:rsid w:val="000313FF"/>
    <w:rsid w:val="000325B7"/>
    <w:rsid w:val="00033710"/>
    <w:rsid w:val="00033965"/>
    <w:rsid w:val="00034328"/>
    <w:rsid w:val="000344E2"/>
    <w:rsid w:val="00034B43"/>
    <w:rsid w:val="00035BAB"/>
    <w:rsid w:val="000362DE"/>
    <w:rsid w:val="000366F3"/>
    <w:rsid w:val="00036E1E"/>
    <w:rsid w:val="00036EE9"/>
    <w:rsid w:val="00037608"/>
    <w:rsid w:val="00037CA2"/>
    <w:rsid w:val="00040F46"/>
    <w:rsid w:val="000434F6"/>
    <w:rsid w:val="00043DDF"/>
    <w:rsid w:val="00044F31"/>
    <w:rsid w:val="0004587C"/>
    <w:rsid w:val="00045ED1"/>
    <w:rsid w:val="00046B88"/>
    <w:rsid w:val="00046F28"/>
    <w:rsid w:val="00047236"/>
    <w:rsid w:val="00051512"/>
    <w:rsid w:val="000515AF"/>
    <w:rsid w:val="0005254D"/>
    <w:rsid w:val="00052AF2"/>
    <w:rsid w:val="000532D1"/>
    <w:rsid w:val="00053A79"/>
    <w:rsid w:val="00054DCC"/>
    <w:rsid w:val="000554BD"/>
    <w:rsid w:val="00055F27"/>
    <w:rsid w:val="000565E8"/>
    <w:rsid w:val="000575CB"/>
    <w:rsid w:val="00060967"/>
    <w:rsid w:val="000609FC"/>
    <w:rsid w:val="0006133E"/>
    <w:rsid w:val="000621CB"/>
    <w:rsid w:val="000633AC"/>
    <w:rsid w:val="00063685"/>
    <w:rsid w:val="00063F09"/>
    <w:rsid w:val="00063FE2"/>
    <w:rsid w:val="00064D9D"/>
    <w:rsid w:val="00064ED2"/>
    <w:rsid w:val="00065AE7"/>
    <w:rsid w:val="00065C26"/>
    <w:rsid w:val="00065E21"/>
    <w:rsid w:val="000661C0"/>
    <w:rsid w:val="00066ECF"/>
    <w:rsid w:val="00066FC9"/>
    <w:rsid w:val="0007155D"/>
    <w:rsid w:val="00072422"/>
    <w:rsid w:val="00072A31"/>
    <w:rsid w:val="00073090"/>
    <w:rsid w:val="00076837"/>
    <w:rsid w:val="00077100"/>
    <w:rsid w:val="000774ED"/>
    <w:rsid w:val="00080338"/>
    <w:rsid w:val="00080562"/>
    <w:rsid w:val="00080616"/>
    <w:rsid w:val="000828D9"/>
    <w:rsid w:val="0008367A"/>
    <w:rsid w:val="00084397"/>
    <w:rsid w:val="00084ACD"/>
    <w:rsid w:val="0008547E"/>
    <w:rsid w:val="00085648"/>
    <w:rsid w:val="00085977"/>
    <w:rsid w:val="00085CB7"/>
    <w:rsid w:val="000877BC"/>
    <w:rsid w:val="00087BD3"/>
    <w:rsid w:val="000911EB"/>
    <w:rsid w:val="00091937"/>
    <w:rsid w:val="00092A2B"/>
    <w:rsid w:val="00093088"/>
    <w:rsid w:val="00094253"/>
    <w:rsid w:val="000947F5"/>
    <w:rsid w:val="000955CC"/>
    <w:rsid w:val="00096B85"/>
    <w:rsid w:val="00096E9D"/>
    <w:rsid w:val="00097A88"/>
    <w:rsid w:val="00097BE4"/>
    <w:rsid w:val="000A0081"/>
    <w:rsid w:val="000A01B4"/>
    <w:rsid w:val="000A19CC"/>
    <w:rsid w:val="000A2516"/>
    <w:rsid w:val="000A30B5"/>
    <w:rsid w:val="000A3F53"/>
    <w:rsid w:val="000A43F4"/>
    <w:rsid w:val="000A459E"/>
    <w:rsid w:val="000A4E88"/>
    <w:rsid w:val="000A53AD"/>
    <w:rsid w:val="000A5A08"/>
    <w:rsid w:val="000A698D"/>
    <w:rsid w:val="000A73A3"/>
    <w:rsid w:val="000A7A59"/>
    <w:rsid w:val="000A7DEC"/>
    <w:rsid w:val="000B0FE8"/>
    <w:rsid w:val="000B143D"/>
    <w:rsid w:val="000B23C6"/>
    <w:rsid w:val="000B2442"/>
    <w:rsid w:val="000B3B21"/>
    <w:rsid w:val="000B45D6"/>
    <w:rsid w:val="000B4D2E"/>
    <w:rsid w:val="000B5235"/>
    <w:rsid w:val="000B7FDF"/>
    <w:rsid w:val="000C038D"/>
    <w:rsid w:val="000C12B8"/>
    <w:rsid w:val="000C1490"/>
    <w:rsid w:val="000C161E"/>
    <w:rsid w:val="000C2975"/>
    <w:rsid w:val="000C2B6A"/>
    <w:rsid w:val="000C3DD8"/>
    <w:rsid w:val="000C5957"/>
    <w:rsid w:val="000C5D2D"/>
    <w:rsid w:val="000C67FD"/>
    <w:rsid w:val="000C6F4B"/>
    <w:rsid w:val="000D0937"/>
    <w:rsid w:val="000D143C"/>
    <w:rsid w:val="000D20ED"/>
    <w:rsid w:val="000D2CA3"/>
    <w:rsid w:val="000D2D12"/>
    <w:rsid w:val="000D4919"/>
    <w:rsid w:val="000D72B5"/>
    <w:rsid w:val="000D78A6"/>
    <w:rsid w:val="000D7955"/>
    <w:rsid w:val="000D7FC5"/>
    <w:rsid w:val="000E0AAF"/>
    <w:rsid w:val="000E0CBF"/>
    <w:rsid w:val="000E1056"/>
    <w:rsid w:val="000E1ABA"/>
    <w:rsid w:val="000E1CC2"/>
    <w:rsid w:val="000E1CE5"/>
    <w:rsid w:val="000E20D0"/>
    <w:rsid w:val="000E24C9"/>
    <w:rsid w:val="000E3BE1"/>
    <w:rsid w:val="000E4242"/>
    <w:rsid w:val="000E5D5D"/>
    <w:rsid w:val="000E6038"/>
    <w:rsid w:val="000E6557"/>
    <w:rsid w:val="000E65C7"/>
    <w:rsid w:val="000E6F93"/>
    <w:rsid w:val="000E73AB"/>
    <w:rsid w:val="000E7CF5"/>
    <w:rsid w:val="000E7D9E"/>
    <w:rsid w:val="000F09CF"/>
    <w:rsid w:val="000F1397"/>
    <w:rsid w:val="000F2926"/>
    <w:rsid w:val="000F3754"/>
    <w:rsid w:val="000F4847"/>
    <w:rsid w:val="000F5068"/>
    <w:rsid w:val="000F5E04"/>
    <w:rsid w:val="000F6A0B"/>
    <w:rsid w:val="000F785B"/>
    <w:rsid w:val="0010138D"/>
    <w:rsid w:val="00101AEE"/>
    <w:rsid w:val="00101D79"/>
    <w:rsid w:val="00102725"/>
    <w:rsid w:val="00102F21"/>
    <w:rsid w:val="0010516E"/>
    <w:rsid w:val="00106171"/>
    <w:rsid w:val="00106307"/>
    <w:rsid w:val="00107720"/>
    <w:rsid w:val="00107738"/>
    <w:rsid w:val="00107C5F"/>
    <w:rsid w:val="00107D60"/>
    <w:rsid w:val="00107D87"/>
    <w:rsid w:val="001111B3"/>
    <w:rsid w:val="001124F8"/>
    <w:rsid w:val="00113AE3"/>
    <w:rsid w:val="0011442B"/>
    <w:rsid w:val="001149F9"/>
    <w:rsid w:val="001155AD"/>
    <w:rsid w:val="00120FCB"/>
    <w:rsid w:val="00123E86"/>
    <w:rsid w:val="00124E25"/>
    <w:rsid w:val="00125458"/>
    <w:rsid w:val="00125761"/>
    <w:rsid w:val="00125E2C"/>
    <w:rsid w:val="001272E3"/>
    <w:rsid w:val="00127350"/>
    <w:rsid w:val="001275A0"/>
    <w:rsid w:val="001276FF"/>
    <w:rsid w:val="00130564"/>
    <w:rsid w:val="0013188D"/>
    <w:rsid w:val="00133EE9"/>
    <w:rsid w:val="00135564"/>
    <w:rsid w:val="00135F27"/>
    <w:rsid w:val="001363F5"/>
    <w:rsid w:val="00137749"/>
    <w:rsid w:val="00137825"/>
    <w:rsid w:val="0014007C"/>
    <w:rsid w:val="001403E9"/>
    <w:rsid w:val="00140552"/>
    <w:rsid w:val="00140B2D"/>
    <w:rsid w:val="00140CA0"/>
    <w:rsid w:val="00140F6B"/>
    <w:rsid w:val="00141105"/>
    <w:rsid w:val="00142562"/>
    <w:rsid w:val="001428A9"/>
    <w:rsid w:val="00142D54"/>
    <w:rsid w:val="001433D6"/>
    <w:rsid w:val="001449E1"/>
    <w:rsid w:val="001462FE"/>
    <w:rsid w:val="0014655A"/>
    <w:rsid w:val="00146F09"/>
    <w:rsid w:val="00147062"/>
    <w:rsid w:val="001474EC"/>
    <w:rsid w:val="00147C79"/>
    <w:rsid w:val="00147D10"/>
    <w:rsid w:val="001515B5"/>
    <w:rsid w:val="00151829"/>
    <w:rsid w:val="00153C1E"/>
    <w:rsid w:val="00153E89"/>
    <w:rsid w:val="00153E9F"/>
    <w:rsid w:val="001540D2"/>
    <w:rsid w:val="001560D3"/>
    <w:rsid w:val="001561E1"/>
    <w:rsid w:val="001562B2"/>
    <w:rsid w:val="001564F3"/>
    <w:rsid w:val="001570DE"/>
    <w:rsid w:val="00157574"/>
    <w:rsid w:val="0015789D"/>
    <w:rsid w:val="00157C77"/>
    <w:rsid w:val="00157DE4"/>
    <w:rsid w:val="001609C1"/>
    <w:rsid w:val="00160D31"/>
    <w:rsid w:val="00161522"/>
    <w:rsid w:val="00161B88"/>
    <w:rsid w:val="00162A56"/>
    <w:rsid w:val="001630F4"/>
    <w:rsid w:val="0016425D"/>
    <w:rsid w:val="00164D79"/>
    <w:rsid w:val="00166245"/>
    <w:rsid w:val="00167A5B"/>
    <w:rsid w:val="00167B7D"/>
    <w:rsid w:val="00170A6E"/>
    <w:rsid w:val="00171156"/>
    <w:rsid w:val="00171171"/>
    <w:rsid w:val="00171B39"/>
    <w:rsid w:val="0017390B"/>
    <w:rsid w:val="0017399E"/>
    <w:rsid w:val="001743AE"/>
    <w:rsid w:val="001749EE"/>
    <w:rsid w:val="00175AF3"/>
    <w:rsid w:val="00176421"/>
    <w:rsid w:val="00180152"/>
    <w:rsid w:val="0018109F"/>
    <w:rsid w:val="00181FF9"/>
    <w:rsid w:val="001824A2"/>
    <w:rsid w:val="0018292E"/>
    <w:rsid w:val="00183035"/>
    <w:rsid w:val="00183B1A"/>
    <w:rsid w:val="00185FE8"/>
    <w:rsid w:val="001872F7"/>
    <w:rsid w:val="00187A4C"/>
    <w:rsid w:val="00187E58"/>
    <w:rsid w:val="001905D7"/>
    <w:rsid w:val="00190A6E"/>
    <w:rsid w:val="00190D86"/>
    <w:rsid w:val="00191839"/>
    <w:rsid w:val="00193759"/>
    <w:rsid w:val="001943F5"/>
    <w:rsid w:val="00196AD3"/>
    <w:rsid w:val="001A03CF"/>
    <w:rsid w:val="001A0AA9"/>
    <w:rsid w:val="001A13A8"/>
    <w:rsid w:val="001A3B33"/>
    <w:rsid w:val="001A3D13"/>
    <w:rsid w:val="001A3DA8"/>
    <w:rsid w:val="001A42A3"/>
    <w:rsid w:val="001A6398"/>
    <w:rsid w:val="001A67CC"/>
    <w:rsid w:val="001A6EEF"/>
    <w:rsid w:val="001A7040"/>
    <w:rsid w:val="001A7718"/>
    <w:rsid w:val="001B12A3"/>
    <w:rsid w:val="001B12F1"/>
    <w:rsid w:val="001B1F67"/>
    <w:rsid w:val="001B2873"/>
    <w:rsid w:val="001B2B39"/>
    <w:rsid w:val="001B2CD6"/>
    <w:rsid w:val="001B2E83"/>
    <w:rsid w:val="001B2ECB"/>
    <w:rsid w:val="001B7EC0"/>
    <w:rsid w:val="001C0A62"/>
    <w:rsid w:val="001C0ED8"/>
    <w:rsid w:val="001C101E"/>
    <w:rsid w:val="001C1A50"/>
    <w:rsid w:val="001C1DB0"/>
    <w:rsid w:val="001C2DB8"/>
    <w:rsid w:val="001C4947"/>
    <w:rsid w:val="001C4A0E"/>
    <w:rsid w:val="001C5C8B"/>
    <w:rsid w:val="001C744C"/>
    <w:rsid w:val="001D0A0F"/>
    <w:rsid w:val="001D135A"/>
    <w:rsid w:val="001D152A"/>
    <w:rsid w:val="001D170C"/>
    <w:rsid w:val="001D1D20"/>
    <w:rsid w:val="001D23D1"/>
    <w:rsid w:val="001D2512"/>
    <w:rsid w:val="001D276C"/>
    <w:rsid w:val="001D3CB5"/>
    <w:rsid w:val="001D4323"/>
    <w:rsid w:val="001D441F"/>
    <w:rsid w:val="001D45E5"/>
    <w:rsid w:val="001D73C8"/>
    <w:rsid w:val="001D7975"/>
    <w:rsid w:val="001E0FB3"/>
    <w:rsid w:val="001E103C"/>
    <w:rsid w:val="001E1B56"/>
    <w:rsid w:val="001E2A1A"/>
    <w:rsid w:val="001E38C6"/>
    <w:rsid w:val="001E3D21"/>
    <w:rsid w:val="001E43C4"/>
    <w:rsid w:val="001E4591"/>
    <w:rsid w:val="001E4CDD"/>
    <w:rsid w:val="001E57AD"/>
    <w:rsid w:val="001E58D9"/>
    <w:rsid w:val="001E70ED"/>
    <w:rsid w:val="001E7877"/>
    <w:rsid w:val="001E7C70"/>
    <w:rsid w:val="001F1491"/>
    <w:rsid w:val="001F15B0"/>
    <w:rsid w:val="001F16C3"/>
    <w:rsid w:val="001F19C5"/>
    <w:rsid w:val="001F2B23"/>
    <w:rsid w:val="001F2D1B"/>
    <w:rsid w:val="001F3BE9"/>
    <w:rsid w:val="001F420E"/>
    <w:rsid w:val="001F51FC"/>
    <w:rsid w:val="001F5A3E"/>
    <w:rsid w:val="001F7022"/>
    <w:rsid w:val="001F79B7"/>
    <w:rsid w:val="001F7E9E"/>
    <w:rsid w:val="00200686"/>
    <w:rsid w:val="0020101C"/>
    <w:rsid w:val="00202938"/>
    <w:rsid w:val="00202C5A"/>
    <w:rsid w:val="002034D9"/>
    <w:rsid w:val="002035BE"/>
    <w:rsid w:val="00203683"/>
    <w:rsid w:val="0020395D"/>
    <w:rsid w:val="00203AAF"/>
    <w:rsid w:val="00203AEA"/>
    <w:rsid w:val="00204132"/>
    <w:rsid w:val="00204707"/>
    <w:rsid w:val="00204EB6"/>
    <w:rsid w:val="002059DC"/>
    <w:rsid w:val="00205A26"/>
    <w:rsid w:val="00205B18"/>
    <w:rsid w:val="00205EA4"/>
    <w:rsid w:val="00206438"/>
    <w:rsid w:val="00206581"/>
    <w:rsid w:val="00207784"/>
    <w:rsid w:val="00207D26"/>
    <w:rsid w:val="00210B1A"/>
    <w:rsid w:val="00214174"/>
    <w:rsid w:val="0021542E"/>
    <w:rsid w:val="00216499"/>
    <w:rsid w:val="002165B7"/>
    <w:rsid w:val="002168AC"/>
    <w:rsid w:val="002172B2"/>
    <w:rsid w:val="00217D34"/>
    <w:rsid w:val="00220E5C"/>
    <w:rsid w:val="00222AF9"/>
    <w:rsid w:val="002231D0"/>
    <w:rsid w:val="002235E4"/>
    <w:rsid w:val="00223742"/>
    <w:rsid w:val="002239D4"/>
    <w:rsid w:val="00223D0C"/>
    <w:rsid w:val="00223DE2"/>
    <w:rsid w:val="00224B34"/>
    <w:rsid w:val="002258F6"/>
    <w:rsid w:val="00225DB8"/>
    <w:rsid w:val="0022637B"/>
    <w:rsid w:val="00226717"/>
    <w:rsid w:val="00230161"/>
    <w:rsid w:val="00231001"/>
    <w:rsid w:val="00231456"/>
    <w:rsid w:val="00231BEF"/>
    <w:rsid w:val="00231DF1"/>
    <w:rsid w:val="002333FC"/>
    <w:rsid w:val="00233C2E"/>
    <w:rsid w:val="00235945"/>
    <w:rsid w:val="0023736E"/>
    <w:rsid w:val="002378A5"/>
    <w:rsid w:val="00237CA8"/>
    <w:rsid w:val="002403A2"/>
    <w:rsid w:val="002413EC"/>
    <w:rsid w:val="0024232B"/>
    <w:rsid w:val="00244007"/>
    <w:rsid w:val="00244B6B"/>
    <w:rsid w:val="00244B83"/>
    <w:rsid w:val="002452C9"/>
    <w:rsid w:val="002458FC"/>
    <w:rsid w:val="002468C8"/>
    <w:rsid w:val="00247007"/>
    <w:rsid w:val="00247FA5"/>
    <w:rsid w:val="00250652"/>
    <w:rsid w:val="0025173B"/>
    <w:rsid w:val="002519E9"/>
    <w:rsid w:val="00252F41"/>
    <w:rsid w:val="002540D3"/>
    <w:rsid w:val="002548D9"/>
    <w:rsid w:val="00255D4D"/>
    <w:rsid w:val="002566BA"/>
    <w:rsid w:val="002566BE"/>
    <w:rsid w:val="00257035"/>
    <w:rsid w:val="002578CF"/>
    <w:rsid w:val="002639C8"/>
    <w:rsid w:val="00264798"/>
    <w:rsid w:val="00264E7E"/>
    <w:rsid w:val="00264FF4"/>
    <w:rsid w:val="00265A2E"/>
    <w:rsid w:val="00265EF5"/>
    <w:rsid w:val="0026640F"/>
    <w:rsid w:val="00266E43"/>
    <w:rsid w:val="0026755D"/>
    <w:rsid w:val="002675A4"/>
    <w:rsid w:val="002677A9"/>
    <w:rsid w:val="00270297"/>
    <w:rsid w:val="00270493"/>
    <w:rsid w:val="00271697"/>
    <w:rsid w:val="0027231C"/>
    <w:rsid w:val="002724D0"/>
    <w:rsid w:val="00273832"/>
    <w:rsid w:val="00274525"/>
    <w:rsid w:val="00274641"/>
    <w:rsid w:val="00275FFF"/>
    <w:rsid w:val="002766CA"/>
    <w:rsid w:val="002774AF"/>
    <w:rsid w:val="00281BDD"/>
    <w:rsid w:val="002826A9"/>
    <w:rsid w:val="0028281B"/>
    <w:rsid w:val="0028283A"/>
    <w:rsid w:val="002834D7"/>
    <w:rsid w:val="0028350F"/>
    <w:rsid w:val="002839D8"/>
    <w:rsid w:val="00284114"/>
    <w:rsid w:val="00284309"/>
    <w:rsid w:val="002843D3"/>
    <w:rsid w:val="00284A00"/>
    <w:rsid w:val="0028522C"/>
    <w:rsid w:val="00285637"/>
    <w:rsid w:val="0028619C"/>
    <w:rsid w:val="00290856"/>
    <w:rsid w:val="00291247"/>
    <w:rsid w:val="002912DE"/>
    <w:rsid w:val="00292256"/>
    <w:rsid w:val="00293FE5"/>
    <w:rsid w:val="0029592F"/>
    <w:rsid w:val="00295CCF"/>
    <w:rsid w:val="00297E2A"/>
    <w:rsid w:val="002A0B62"/>
    <w:rsid w:val="002A0CEF"/>
    <w:rsid w:val="002A1435"/>
    <w:rsid w:val="002A2771"/>
    <w:rsid w:val="002A3DE3"/>
    <w:rsid w:val="002A3E11"/>
    <w:rsid w:val="002A42B4"/>
    <w:rsid w:val="002A4D71"/>
    <w:rsid w:val="002A542D"/>
    <w:rsid w:val="002A6640"/>
    <w:rsid w:val="002A6E7B"/>
    <w:rsid w:val="002B1334"/>
    <w:rsid w:val="002B282D"/>
    <w:rsid w:val="002B293E"/>
    <w:rsid w:val="002B4847"/>
    <w:rsid w:val="002B4B91"/>
    <w:rsid w:val="002B53E7"/>
    <w:rsid w:val="002B5A77"/>
    <w:rsid w:val="002B5BD9"/>
    <w:rsid w:val="002B6327"/>
    <w:rsid w:val="002B63CE"/>
    <w:rsid w:val="002B6EBB"/>
    <w:rsid w:val="002C0499"/>
    <w:rsid w:val="002C1CB6"/>
    <w:rsid w:val="002C1DEE"/>
    <w:rsid w:val="002C2099"/>
    <w:rsid w:val="002C2156"/>
    <w:rsid w:val="002C36D2"/>
    <w:rsid w:val="002C3710"/>
    <w:rsid w:val="002C3F85"/>
    <w:rsid w:val="002C45E2"/>
    <w:rsid w:val="002C4C2B"/>
    <w:rsid w:val="002C59B4"/>
    <w:rsid w:val="002C5F11"/>
    <w:rsid w:val="002C5F4E"/>
    <w:rsid w:val="002C6546"/>
    <w:rsid w:val="002C65C5"/>
    <w:rsid w:val="002C6CFF"/>
    <w:rsid w:val="002C75E8"/>
    <w:rsid w:val="002D1697"/>
    <w:rsid w:val="002D1A92"/>
    <w:rsid w:val="002D2234"/>
    <w:rsid w:val="002D25EE"/>
    <w:rsid w:val="002D3166"/>
    <w:rsid w:val="002D31CA"/>
    <w:rsid w:val="002D35AA"/>
    <w:rsid w:val="002D40E1"/>
    <w:rsid w:val="002D46F4"/>
    <w:rsid w:val="002D47EE"/>
    <w:rsid w:val="002D48D9"/>
    <w:rsid w:val="002D49BF"/>
    <w:rsid w:val="002D4A70"/>
    <w:rsid w:val="002D4C2D"/>
    <w:rsid w:val="002D55A8"/>
    <w:rsid w:val="002D792E"/>
    <w:rsid w:val="002D7B3E"/>
    <w:rsid w:val="002E05FF"/>
    <w:rsid w:val="002E2D1B"/>
    <w:rsid w:val="002E38D7"/>
    <w:rsid w:val="002E3EFE"/>
    <w:rsid w:val="002E4099"/>
    <w:rsid w:val="002E4563"/>
    <w:rsid w:val="002E4B0F"/>
    <w:rsid w:val="002E516F"/>
    <w:rsid w:val="002E559E"/>
    <w:rsid w:val="002E5EEF"/>
    <w:rsid w:val="002E74DB"/>
    <w:rsid w:val="002F0565"/>
    <w:rsid w:val="002F0AF6"/>
    <w:rsid w:val="002F1756"/>
    <w:rsid w:val="002F17B3"/>
    <w:rsid w:val="002F17CB"/>
    <w:rsid w:val="002F2AF0"/>
    <w:rsid w:val="002F3240"/>
    <w:rsid w:val="002F3474"/>
    <w:rsid w:val="002F37B9"/>
    <w:rsid w:val="002F3CC2"/>
    <w:rsid w:val="002F3EB9"/>
    <w:rsid w:val="002F4F94"/>
    <w:rsid w:val="002F52F5"/>
    <w:rsid w:val="002F6295"/>
    <w:rsid w:val="002F6D9D"/>
    <w:rsid w:val="002F71BF"/>
    <w:rsid w:val="002F7671"/>
    <w:rsid w:val="002F7C11"/>
    <w:rsid w:val="002F7CFF"/>
    <w:rsid w:val="0030059B"/>
    <w:rsid w:val="00300D75"/>
    <w:rsid w:val="00301336"/>
    <w:rsid w:val="003015E6"/>
    <w:rsid w:val="00301D03"/>
    <w:rsid w:val="00301DAE"/>
    <w:rsid w:val="003020DD"/>
    <w:rsid w:val="0030322A"/>
    <w:rsid w:val="003035FC"/>
    <w:rsid w:val="003039FD"/>
    <w:rsid w:val="0030449D"/>
    <w:rsid w:val="00304BF5"/>
    <w:rsid w:val="003059E6"/>
    <w:rsid w:val="00306F28"/>
    <w:rsid w:val="003077F1"/>
    <w:rsid w:val="00310BFB"/>
    <w:rsid w:val="00311277"/>
    <w:rsid w:val="00311C19"/>
    <w:rsid w:val="00315090"/>
    <w:rsid w:val="00316AEB"/>
    <w:rsid w:val="00317F57"/>
    <w:rsid w:val="003207C4"/>
    <w:rsid w:val="003209ED"/>
    <w:rsid w:val="00321174"/>
    <w:rsid w:val="00321A5F"/>
    <w:rsid w:val="0032220F"/>
    <w:rsid w:val="003225D3"/>
    <w:rsid w:val="003231C5"/>
    <w:rsid w:val="003234B5"/>
    <w:rsid w:val="0032381C"/>
    <w:rsid w:val="00323E31"/>
    <w:rsid w:val="00323F6A"/>
    <w:rsid w:val="0032446F"/>
    <w:rsid w:val="003246BA"/>
    <w:rsid w:val="00325202"/>
    <w:rsid w:val="00325648"/>
    <w:rsid w:val="0032577F"/>
    <w:rsid w:val="003267ED"/>
    <w:rsid w:val="003273EC"/>
    <w:rsid w:val="00327413"/>
    <w:rsid w:val="003276DD"/>
    <w:rsid w:val="00327873"/>
    <w:rsid w:val="00327BC9"/>
    <w:rsid w:val="00330167"/>
    <w:rsid w:val="00330DBE"/>
    <w:rsid w:val="00330F12"/>
    <w:rsid w:val="00333308"/>
    <w:rsid w:val="00334024"/>
    <w:rsid w:val="00334E27"/>
    <w:rsid w:val="003354A9"/>
    <w:rsid w:val="003360BF"/>
    <w:rsid w:val="003372BE"/>
    <w:rsid w:val="003374DB"/>
    <w:rsid w:val="003379EA"/>
    <w:rsid w:val="00341054"/>
    <w:rsid w:val="00341679"/>
    <w:rsid w:val="00341FBA"/>
    <w:rsid w:val="00342084"/>
    <w:rsid w:val="00342C63"/>
    <w:rsid w:val="003442D2"/>
    <w:rsid w:val="00345A32"/>
    <w:rsid w:val="00346181"/>
    <w:rsid w:val="0034644C"/>
    <w:rsid w:val="00347FF0"/>
    <w:rsid w:val="0035043B"/>
    <w:rsid w:val="00350D72"/>
    <w:rsid w:val="003515F8"/>
    <w:rsid w:val="00351710"/>
    <w:rsid w:val="00351B31"/>
    <w:rsid w:val="0035235C"/>
    <w:rsid w:val="0035394D"/>
    <w:rsid w:val="003543B8"/>
    <w:rsid w:val="003545EA"/>
    <w:rsid w:val="003550E1"/>
    <w:rsid w:val="0035559D"/>
    <w:rsid w:val="003559C0"/>
    <w:rsid w:val="00355F35"/>
    <w:rsid w:val="003562D2"/>
    <w:rsid w:val="00356645"/>
    <w:rsid w:val="003609F0"/>
    <w:rsid w:val="00360C75"/>
    <w:rsid w:val="00361294"/>
    <w:rsid w:val="00361D51"/>
    <w:rsid w:val="00362459"/>
    <w:rsid w:val="003630D6"/>
    <w:rsid w:val="003632F0"/>
    <w:rsid w:val="003643A1"/>
    <w:rsid w:val="00364C10"/>
    <w:rsid w:val="00365B4C"/>
    <w:rsid w:val="00366914"/>
    <w:rsid w:val="0036701A"/>
    <w:rsid w:val="00367481"/>
    <w:rsid w:val="003677F5"/>
    <w:rsid w:val="0037050D"/>
    <w:rsid w:val="0037216E"/>
    <w:rsid w:val="0037268E"/>
    <w:rsid w:val="00373065"/>
    <w:rsid w:val="00373980"/>
    <w:rsid w:val="00373E46"/>
    <w:rsid w:val="00376BA2"/>
    <w:rsid w:val="0037712A"/>
    <w:rsid w:val="003771B6"/>
    <w:rsid w:val="0037742D"/>
    <w:rsid w:val="00377E15"/>
    <w:rsid w:val="0038016C"/>
    <w:rsid w:val="00380416"/>
    <w:rsid w:val="00380893"/>
    <w:rsid w:val="0038112A"/>
    <w:rsid w:val="0038125F"/>
    <w:rsid w:val="00381392"/>
    <w:rsid w:val="00381C8B"/>
    <w:rsid w:val="00381D03"/>
    <w:rsid w:val="00381F78"/>
    <w:rsid w:val="00381FC3"/>
    <w:rsid w:val="003827AD"/>
    <w:rsid w:val="0038343B"/>
    <w:rsid w:val="0038419C"/>
    <w:rsid w:val="00384B2C"/>
    <w:rsid w:val="00384E32"/>
    <w:rsid w:val="0038505B"/>
    <w:rsid w:val="0038524A"/>
    <w:rsid w:val="0038567C"/>
    <w:rsid w:val="00385706"/>
    <w:rsid w:val="0038679E"/>
    <w:rsid w:val="00386CEA"/>
    <w:rsid w:val="00386F55"/>
    <w:rsid w:val="00387573"/>
    <w:rsid w:val="00387CF8"/>
    <w:rsid w:val="0039093A"/>
    <w:rsid w:val="00390B0B"/>
    <w:rsid w:val="00390F52"/>
    <w:rsid w:val="0039495C"/>
    <w:rsid w:val="0039514C"/>
    <w:rsid w:val="00395990"/>
    <w:rsid w:val="003A0CDF"/>
    <w:rsid w:val="003A1862"/>
    <w:rsid w:val="003A28D9"/>
    <w:rsid w:val="003A2CE8"/>
    <w:rsid w:val="003A2FF9"/>
    <w:rsid w:val="003A3065"/>
    <w:rsid w:val="003A3278"/>
    <w:rsid w:val="003A37CB"/>
    <w:rsid w:val="003A7268"/>
    <w:rsid w:val="003A7533"/>
    <w:rsid w:val="003A77D1"/>
    <w:rsid w:val="003B1530"/>
    <w:rsid w:val="003B17D7"/>
    <w:rsid w:val="003B20A4"/>
    <w:rsid w:val="003B21C3"/>
    <w:rsid w:val="003B2469"/>
    <w:rsid w:val="003B251D"/>
    <w:rsid w:val="003B2645"/>
    <w:rsid w:val="003B3684"/>
    <w:rsid w:val="003B39B8"/>
    <w:rsid w:val="003B4264"/>
    <w:rsid w:val="003B4B30"/>
    <w:rsid w:val="003B4BF7"/>
    <w:rsid w:val="003B70C8"/>
    <w:rsid w:val="003B745D"/>
    <w:rsid w:val="003B7A40"/>
    <w:rsid w:val="003C07BB"/>
    <w:rsid w:val="003C1C50"/>
    <w:rsid w:val="003C2097"/>
    <w:rsid w:val="003C2774"/>
    <w:rsid w:val="003C34FD"/>
    <w:rsid w:val="003C3E8D"/>
    <w:rsid w:val="003C4412"/>
    <w:rsid w:val="003C44D5"/>
    <w:rsid w:val="003C4604"/>
    <w:rsid w:val="003C48BB"/>
    <w:rsid w:val="003C4DF2"/>
    <w:rsid w:val="003C501C"/>
    <w:rsid w:val="003C5020"/>
    <w:rsid w:val="003D0CB8"/>
    <w:rsid w:val="003D17E5"/>
    <w:rsid w:val="003D2CF7"/>
    <w:rsid w:val="003D2D46"/>
    <w:rsid w:val="003D3835"/>
    <w:rsid w:val="003D4437"/>
    <w:rsid w:val="003D7087"/>
    <w:rsid w:val="003D73D4"/>
    <w:rsid w:val="003D7DC4"/>
    <w:rsid w:val="003E1B8C"/>
    <w:rsid w:val="003E230F"/>
    <w:rsid w:val="003E2597"/>
    <w:rsid w:val="003E32D8"/>
    <w:rsid w:val="003E35B4"/>
    <w:rsid w:val="003E5820"/>
    <w:rsid w:val="003E5A76"/>
    <w:rsid w:val="003E5AF8"/>
    <w:rsid w:val="003E5EA9"/>
    <w:rsid w:val="003E6D54"/>
    <w:rsid w:val="003E7571"/>
    <w:rsid w:val="003E75EF"/>
    <w:rsid w:val="003E7AD7"/>
    <w:rsid w:val="003F1EE4"/>
    <w:rsid w:val="003F2B6D"/>
    <w:rsid w:val="003F3E37"/>
    <w:rsid w:val="003F4204"/>
    <w:rsid w:val="003F45B3"/>
    <w:rsid w:val="003F5855"/>
    <w:rsid w:val="003F5B67"/>
    <w:rsid w:val="003F5F94"/>
    <w:rsid w:val="003F65F7"/>
    <w:rsid w:val="003F6BDC"/>
    <w:rsid w:val="003F6D61"/>
    <w:rsid w:val="003F7001"/>
    <w:rsid w:val="003F723B"/>
    <w:rsid w:val="003F78DC"/>
    <w:rsid w:val="00400727"/>
    <w:rsid w:val="00400A4D"/>
    <w:rsid w:val="004019E5"/>
    <w:rsid w:val="00401CD3"/>
    <w:rsid w:val="0040266A"/>
    <w:rsid w:val="004029B3"/>
    <w:rsid w:val="004036A9"/>
    <w:rsid w:val="004038A2"/>
    <w:rsid w:val="00403C4C"/>
    <w:rsid w:val="004040CD"/>
    <w:rsid w:val="00404AD7"/>
    <w:rsid w:val="00404BDD"/>
    <w:rsid w:val="00405457"/>
    <w:rsid w:val="00406A4C"/>
    <w:rsid w:val="00406E7E"/>
    <w:rsid w:val="00406F3A"/>
    <w:rsid w:val="00412011"/>
    <w:rsid w:val="00412F48"/>
    <w:rsid w:val="00415ED3"/>
    <w:rsid w:val="004171B4"/>
    <w:rsid w:val="0042089E"/>
    <w:rsid w:val="00421861"/>
    <w:rsid w:val="004229EC"/>
    <w:rsid w:val="00423267"/>
    <w:rsid w:val="00423599"/>
    <w:rsid w:val="00424172"/>
    <w:rsid w:val="00424368"/>
    <w:rsid w:val="00424395"/>
    <w:rsid w:val="00425132"/>
    <w:rsid w:val="004252C8"/>
    <w:rsid w:val="00425621"/>
    <w:rsid w:val="004256BD"/>
    <w:rsid w:val="0042669F"/>
    <w:rsid w:val="00427DE3"/>
    <w:rsid w:val="004303B0"/>
    <w:rsid w:val="00431713"/>
    <w:rsid w:val="0043246D"/>
    <w:rsid w:val="00435011"/>
    <w:rsid w:val="0043561E"/>
    <w:rsid w:val="00435B76"/>
    <w:rsid w:val="0043665D"/>
    <w:rsid w:val="004374A7"/>
    <w:rsid w:val="00437AE2"/>
    <w:rsid w:val="00440ECA"/>
    <w:rsid w:val="004416BB"/>
    <w:rsid w:val="00442050"/>
    <w:rsid w:val="0044215F"/>
    <w:rsid w:val="0044253A"/>
    <w:rsid w:val="0044298B"/>
    <w:rsid w:val="00443803"/>
    <w:rsid w:val="00443DF5"/>
    <w:rsid w:val="00444101"/>
    <w:rsid w:val="004442BC"/>
    <w:rsid w:val="00445B4E"/>
    <w:rsid w:val="00446D58"/>
    <w:rsid w:val="00447628"/>
    <w:rsid w:val="0044794C"/>
    <w:rsid w:val="004505BE"/>
    <w:rsid w:val="00450FE2"/>
    <w:rsid w:val="004511AE"/>
    <w:rsid w:val="004512A2"/>
    <w:rsid w:val="004544F8"/>
    <w:rsid w:val="0045454E"/>
    <w:rsid w:val="00454DE3"/>
    <w:rsid w:val="0045536C"/>
    <w:rsid w:val="00455F89"/>
    <w:rsid w:val="004568DA"/>
    <w:rsid w:val="00456F61"/>
    <w:rsid w:val="00457A4A"/>
    <w:rsid w:val="004602DD"/>
    <w:rsid w:val="0046153B"/>
    <w:rsid w:val="00461790"/>
    <w:rsid w:val="00461BAA"/>
    <w:rsid w:val="004629A6"/>
    <w:rsid w:val="00462C46"/>
    <w:rsid w:val="00462CFA"/>
    <w:rsid w:val="00464A65"/>
    <w:rsid w:val="00464A74"/>
    <w:rsid w:val="00465AEE"/>
    <w:rsid w:val="00465DFB"/>
    <w:rsid w:val="00466B23"/>
    <w:rsid w:val="00467298"/>
    <w:rsid w:val="00470208"/>
    <w:rsid w:val="004709FF"/>
    <w:rsid w:val="00471706"/>
    <w:rsid w:val="00471823"/>
    <w:rsid w:val="00472773"/>
    <w:rsid w:val="00472E47"/>
    <w:rsid w:val="0047340E"/>
    <w:rsid w:val="004735E2"/>
    <w:rsid w:val="0047477B"/>
    <w:rsid w:val="00475FA6"/>
    <w:rsid w:val="0047611A"/>
    <w:rsid w:val="00476A7E"/>
    <w:rsid w:val="00476ADC"/>
    <w:rsid w:val="00476B48"/>
    <w:rsid w:val="00476D1F"/>
    <w:rsid w:val="00480974"/>
    <w:rsid w:val="00480A95"/>
    <w:rsid w:val="0048150F"/>
    <w:rsid w:val="004818AD"/>
    <w:rsid w:val="00483460"/>
    <w:rsid w:val="004835F2"/>
    <w:rsid w:val="004846DF"/>
    <w:rsid w:val="0048488C"/>
    <w:rsid w:val="00485585"/>
    <w:rsid w:val="00485C04"/>
    <w:rsid w:val="00485E92"/>
    <w:rsid w:val="0048746A"/>
    <w:rsid w:val="004902A2"/>
    <w:rsid w:val="004923A2"/>
    <w:rsid w:val="0049341C"/>
    <w:rsid w:val="00493B21"/>
    <w:rsid w:val="00494F21"/>
    <w:rsid w:val="00495605"/>
    <w:rsid w:val="0049584C"/>
    <w:rsid w:val="00496740"/>
    <w:rsid w:val="00497736"/>
    <w:rsid w:val="004A025A"/>
    <w:rsid w:val="004A04E9"/>
    <w:rsid w:val="004A068F"/>
    <w:rsid w:val="004A193A"/>
    <w:rsid w:val="004A1B32"/>
    <w:rsid w:val="004A3032"/>
    <w:rsid w:val="004A3D5D"/>
    <w:rsid w:val="004A4146"/>
    <w:rsid w:val="004A4231"/>
    <w:rsid w:val="004A43A9"/>
    <w:rsid w:val="004A4CFB"/>
    <w:rsid w:val="004A581E"/>
    <w:rsid w:val="004A5B41"/>
    <w:rsid w:val="004B003B"/>
    <w:rsid w:val="004B0E27"/>
    <w:rsid w:val="004B1A0C"/>
    <w:rsid w:val="004B2918"/>
    <w:rsid w:val="004B2EFC"/>
    <w:rsid w:val="004B41FB"/>
    <w:rsid w:val="004B5179"/>
    <w:rsid w:val="004B5495"/>
    <w:rsid w:val="004B5C5C"/>
    <w:rsid w:val="004B6A99"/>
    <w:rsid w:val="004C0735"/>
    <w:rsid w:val="004C1EAE"/>
    <w:rsid w:val="004C2C3A"/>
    <w:rsid w:val="004C2F49"/>
    <w:rsid w:val="004C38FE"/>
    <w:rsid w:val="004C3A02"/>
    <w:rsid w:val="004C43C0"/>
    <w:rsid w:val="004C4B28"/>
    <w:rsid w:val="004C5144"/>
    <w:rsid w:val="004C5261"/>
    <w:rsid w:val="004C526A"/>
    <w:rsid w:val="004C5C8C"/>
    <w:rsid w:val="004C6269"/>
    <w:rsid w:val="004C6CA6"/>
    <w:rsid w:val="004C734B"/>
    <w:rsid w:val="004C78E3"/>
    <w:rsid w:val="004D043C"/>
    <w:rsid w:val="004D1DED"/>
    <w:rsid w:val="004D21A9"/>
    <w:rsid w:val="004D24D5"/>
    <w:rsid w:val="004D47D3"/>
    <w:rsid w:val="004D49E2"/>
    <w:rsid w:val="004D6945"/>
    <w:rsid w:val="004D6E8D"/>
    <w:rsid w:val="004D79B6"/>
    <w:rsid w:val="004D7C5E"/>
    <w:rsid w:val="004D7C7A"/>
    <w:rsid w:val="004E05A4"/>
    <w:rsid w:val="004E1099"/>
    <w:rsid w:val="004E1310"/>
    <w:rsid w:val="004E1437"/>
    <w:rsid w:val="004E3F15"/>
    <w:rsid w:val="004E41F0"/>
    <w:rsid w:val="004E47B0"/>
    <w:rsid w:val="004E5678"/>
    <w:rsid w:val="004E56E3"/>
    <w:rsid w:val="004E60DE"/>
    <w:rsid w:val="004F08F3"/>
    <w:rsid w:val="004F0B24"/>
    <w:rsid w:val="004F26AD"/>
    <w:rsid w:val="004F4FFB"/>
    <w:rsid w:val="004F545E"/>
    <w:rsid w:val="004F58C7"/>
    <w:rsid w:val="00500155"/>
    <w:rsid w:val="00503956"/>
    <w:rsid w:val="00503A3D"/>
    <w:rsid w:val="00503C4C"/>
    <w:rsid w:val="0050485F"/>
    <w:rsid w:val="0050491A"/>
    <w:rsid w:val="005052C6"/>
    <w:rsid w:val="005055CA"/>
    <w:rsid w:val="00507065"/>
    <w:rsid w:val="005113D9"/>
    <w:rsid w:val="00511EFC"/>
    <w:rsid w:val="00512194"/>
    <w:rsid w:val="00512446"/>
    <w:rsid w:val="00513102"/>
    <w:rsid w:val="0051440E"/>
    <w:rsid w:val="00514A06"/>
    <w:rsid w:val="00514CAD"/>
    <w:rsid w:val="00514E96"/>
    <w:rsid w:val="00514EAD"/>
    <w:rsid w:val="0051520B"/>
    <w:rsid w:val="00515A27"/>
    <w:rsid w:val="0051691B"/>
    <w:rsid w:val="00516AE5"/>
    <w:rsid w:val="00517340"/>
    <w:rsid w:val="005204FF"/>
    <w:rsid w:val="005206AA"/>
    <w:rsid w:val="005215F4"/>
    <w:rsid w:val="005231E4"/>
    <w:rsid w:val="00524D46"/>
    <w:rsid w:val="005259F0"/>
    <w:rsid w:val="00526EE5"/>
    <w:rsid w:val="00526F7A"/>
    <w:rsid w:val="005273F2"/>
    <w:rsid w:val="005300E0"/>
    <w:rsid w:val="005302B8"/>
    <w:rsid w:val="0053054F"/>
    <w:rsid w:val="005309FE"/>
    <w:rsid w:val="005318E6"/>
    <w:rsid w:val="00531E5F"/>
    <w:rsid w:val="00532402"/>
    <w:rsid w:val="00532B48"/>
    <w:rsid w:val="00532C7F"/>
    <w:rsid w:val="00533235"/>
    <w:rsid w:val="00534064"/>
    <w:rsid w:val="0053552A"/>
    <w:rsid w:val="00536FD1"/>
    <w:rsid w:val="005373E3"/>
    <w:rsid w:val="00537768"/>
    <w:rsid w:val="00540682"/>
    <w:rsid w:val="00540BB1"/>
    <w:rsid w:val="00540CD5"/>
    <w:rsid w:val="005411DB"/>
    <w:rsid w:val="0054171A"/>
    <w:rsid w:val="00542992"/>
    <w:rsid w:val="005431E4"/>
    <w:rsid w:val="00543255"/>
    <w:rsid w:val="00543272"/>
    <w:rsid w:val="0054695F"/>
    <w:rsid w:val="0054706B"/>
    <w:rsid w:val="0054713F"/>
    <w:rsid w:val="0054756A"/>
    <w:rsid w:val="00550A0B"/>
    <w:rsid w:val="00551002"/>
    <w:rsid w:val="005510F7"/>
    <w:rsid w:val="00551F62"/>
    <w:rsid w:val="005528C9"/>
    <w:rsid w:val="005536F8"/>
    <w:rsid w:val="005537A5"/>
    <w:rsid w:val="00554593"/>
    <w:rsid w:val="0055486B"/>
    <w:rsid w:val="0055553A"/>
    <w:rsid w:val="005555CE"/>
    <w:rsid w:val="0055586B"/>
    <w:rsid w:val="00556C73"/>
    <w:rsid w:val="00556DC7"/>
    <w:rsid w:val="00557299"/>
    <w:rsid w:val="005613F1"/>
    <w:rsid w:val="00562E31"/>
    <w:rsid w:val="005633C1"/>
    <w:rsid w:val="00563555"/>
    <w:rsid w:val="00563DB9"/>
    <w:rsid w:val="00564161"/>
    <w:rsid w:val="0056581B"/>
    <w:rsid w:val="0056662A"/>
    <w:rsid w:val="005719CA"/>
    <w:rsid w:val="00572528"/>
    <w:rsid w:val="00572CFA"/>
    <w:rsid w:val="0057356F"/>
    <w:rsid w:val="005735DC"/>
    <w:rsid w:val="00574CD4"/>
    <w:rsid w:val="00574FFE"/>
    <w:rsid w:val="005754E1"/>
    <w:rsid w:val="005759C9"/>
    <w:rsid w:val="0057619B"/>
    <w:rsid w:val="005769B5"/>
    <w:rsid w:val="00576D8B"/>
    <w:rsid w:val="0058056E"/>
    <w:rsid w:val="005811C4"/>
    <w:rsid w:val="005812CF"/>
    <w:rsid w:val="005815DB"/>
    <w:rsid w:val="00581D1F"/>
    <w:rsid w:val="00582475"/>
    <w:rsid w:val="00582CCD"/>
    <w:rsid w:val="00583AAE"/>
    <w:rsid w:val="00584527"/>
    <w:rsid w:val="00584D6C"/>
    <w:rsid w:val="0058526A"/>
    <w:rsid w:val="005852D0"/>
    <w:rsid w:val="00585CD8"/>
    <w:rsid w:val="0058680E"/>
    <w:rsid w:val="00586A4A"/>
    <w:rsid w:val="00586A86"/>
    <w:rsid w:val="005875F9"/>
    <w:rsid w:val="00587896"/>
    <w:rsid w:val="00587E72"/>
    <w:rsid w:val="005906AB"/>
    <w:rsid w:val="00591936"/>
    <w:rsid w:val="00591C08"/>
    <w:rsid w:val="00592895"/>
    <w:rsid w:val="00593794"/>
    <w:rsid w:val="00594781"/>
    <w:rsid w:val="00594ABE"/>
    <w:rsid w:val="00594D29"/>
    <w:rsid w:val="00597233"/>
    <w:rsid w:val="00597322"/>
    <w:rsid w:val="00597494"/>
    <w:rsid w:val="00597585"/>
    <w:rsid w:val="005A0468"/>
    <w:rsid w:val="005A0C18"/>
    <w:rsid w:val="005A1937"/>
    <w:rsid w:val="005A1E62"/>
    <w:rsid w:val="005A2718"/>
    <w:rsid w:val="005A2CB8"/>
    <w:rsid w:val="005A3016"/>
    <w:rsid w:val="005A4136"/>
    <w:rsid w:val="005A47E1"/>
    <w:rsid w:val="005A51C3"/>
    <w:rsid w:val="005A5382"/>
    <w:rsid w:val="005A66B3"/>
    <w:rsid w:val="005A767D"/>
    <w:rsid w:val="005B1B3B"/>
    <w:rsid w:val="005B1BE5"/>
    <w:rsid w:val="005B44DA"/>
    <w:rsid w:val="005B538F"/>
    <w:rsid w:val="005B5A84"/>
    <w:rsid w:val="005B6727"/>
    <w:rsid w:val="005B6B07"/>
    <w:rsid w:val="005C032C"/>
    <w:rsid w:val="005C07DC"/>
    <w:rsid w:val="005C0AFD"/>
    <w:rsid w:val="005C1080"/>
    <w:rsid w:val="005C3D25"/>
    <w:rsid w:val="005C5AF1"/>
    <w:rsid w:val="005C6B8A"/>
    <w:rsid w:val="005C799C"/>
    <w:rsid w:val="005C7BE5"/>
    <w:rsid w:val="005C7D61"/>
    <w:rsid w:val="005D0583"/>
    <w:rsid w:val="005D0B80"/>
    <w:rsid w:val="005D115C"/>
    <w:rsid w:val="005D1E4D"/>
    <w:rsid w:val="005D2069"/>
    <w:rsid w:val="005D3AA1"/>
    <w:rsid w:val="005D5240"/>
    <w:rsid w:val="005D5F7F"/>
    <w:rsid w:val="005D7A78"/>
    <w:rsid w:val="005D7F94"/>
    <w:rsid w:val="005E0435"/>
    <w:rsid w:val="005E0DBF"/>
    <w:rsid w:val="005E126D"/>
    <w:rsid w:val="005E1E79"/>
    <w:rsid w:val="005E1EE5"/>
    <w:rsid w:val="005E2431"/>
    <w:rsid w:val="005E30AA"/>
    <w:rsid w:val="005E315F"/>
    <w:rsid w:val="005E3672"/>
    <w:rsid w:val="005E41E8"/>
    <w:rsid w:val="005E4318"/>
    <w:rsid w:val="005E4BFC"/>
    <w:rsid w:val="005E65D4"/>
    <w:rsid w:val="005E6E70"/>
    <w:rsid w:val="005F0948"/>
    <w:rsid w:val="005F0ABC"/>
    <w:rsid w:val="005F14E3"/>
    <w:rsid w:val="005F21A2"/>
    <w:rsid w:val="005F27F6"/>
    <w:rsid w:val="005F30C6"/>
    <w:rsid w:val="005F4A23"/>
    <w:rsid w:val="005F6475"/>
    <w:rsid w:val="005F654F"/>
    <w:rsid w:val="005F68D3"/>
    <w:rsid w:val="005F7A20"/>
    <w:rsid w:val="005F7E92"/>
    <w:rsid w:val="006004A9"/>
    <w:rsid w:val="00600C56"/>
    <w:rsid w:val="00604044"/>
    <w:rsid w:val="0060453E"/>
    <w:rsid w:val="006049B1"/>
    <w:rsid w:val="00604A5C"/>
    <w:rsid w:val="00604EAD"/>
    <w:rsid w:val="006055AC"/>
    <w:rsid w:val="006059CA"/>
    <w:rsid w:val="00606383"/>
    <w:rsid w:val="00607281"/>
    <w:rsid w:val="006075D5"/>
    <w:rsid w:val="00610249"/>
    <w:rsid w:val="0061063F"/>
    <w:rsid w:val="00610843"/>
    <w:rsid w:val="00610E70"/>
    <w:rsid w:val="00611496"/>
    <w:rsid w:val="00612761"/>
    <w:rsid w:val="00613D29"/>
    <w:rsid w:val="00613D2C"/>
    <w:rsid w:val="00613D34"/>
    <w:rsid w:val="006141E2"/>
    <w:rsid w:val="00614C56"/>
    <w:rsid w:val="006150FE"/>
    <w:rsid w:val="00615CB4"/>
    <w:rsid w:val="006162AD"/>
    <w:rsid w:val="00616E0D"/>
    <w:rsid w:val="00617DFB"/>
    <w:rsid w:val="00617F74"/>
    <w:rsid w:val="00620559"/>
    <w:rsid w:val="006214E6"/>
    <w:rsid w:val="00621FBF"/>
    <w:rsid w:val="00622D19"/>
    <w:rsid w:val="00623A0B"/>
    <w:rsid w:val="00623A2E"/>
    <w:rsid w:val="006240E3"/>
    <w:rsid w:val="00624272"/>
    <w:rsid w:val="006247D8"/>
    <w:rsid w:val="00625314"/>
    <w:rsid w:val="0062743E"/>
    <w:rsid w:val="006301BE"/>
    <w:rsid w:val="0063091B"/>
    <w:rsid w:val="00631AA8"/>
    <w:rsid w:val="00631AFF"/>
    <w:rsid w:val="00631BE3"/>
    <w:rsid w:val="00632167"/>
    <w:rsid w:val="006333C6"/>
    <w:rsid w:val="00633619"/>
    <w:rsid w:val="00635427"/>
    <w:rsid w:val="00635793"/>
    <w:rsid w:val="00635B23"/>
    <w:rsid w:val="00635BBA"/>
    <w:rsid w:val="00636688"/>
    <w:rsid w:val="0063791E"/>
    <w:rsid w:val="00637CC3"/>
    <w:rsid w:val="00641DF7"/>
    <w:rsid w:val="00642A71"/>
    <w:rsid w:val="00643708"/>
    <w:rsid w:val="0064433C"/>
    <w:rsid w:val="00644B07"/>
    <w:rsid w:val="00644C0F"/>
    <w:rsid w:val="00645A40"/>
    <w:rsid w:val="00645A60"/>
    <w:rsid w:val="00645EF6"/>
    <w:rsid w:val="00646630"/>
    <w:rsid w:val="006477B6"/>
    <w:rsid w:val="00647CA4"/>
    <w:rsid w:val="00650050"/>
    <w:rsid w:val="00650457"/>
    <w:rsid w:val="0065142A"/>
    <w:rsid w:val="006514EB"/>
    <w:rsid w:val="00652345"/>
    <w:rsid w:val="006526E0"/>
    <w:rsid w:val="0065328A"/>
    <w:rsid w:val="00654230"/>
    <w:rsid w:val="0065460E"/>
    <w:rsid w:val="006557CF"/>
    <w:rsid w:val="00655BF0"/>
    <w:rsid w:val="00656617"/>
    <w:rsid w:val="00657BF1"/>
    <w:rsid w:val="00657D2A"/>
    <w:rsid w:val="006623C4"/>
    <w:rsid w:val="0066263F"/>
    <w:rsid w:val="00662679"/>
    <w:rsid w:val="00663258"/>
    <w:rsid w:val="00663CBE"/>
    <w:rsid w:val="00663FED"/>
    <w:rsid w:val="0066475F"/>
    <w:rsid w:val="006649AC"/>
    <w:rsid w:val="00664CA0"/>
    <w:rsid w:val="00665162"/>
    <w:rsid w:val="00665E9C"/>
    <w:rsid w:val="00666046"/>
    <w:rsid w:val="006660AB"/>
    <w:rsid w:val="00666337"/>
    <w:rsid w:val="006705CD"/>
    <w:rsid w:val="00670D3D"/>
    <w:rsid w:val="00670E1C"/>
    <w:rsid w:val="00671D07"/>
    <w:rsid w:val="006728F8"/>
    <w:rsid w:val="00672F61"/>
    <w:rsid w:val="0067363C"/>
    <w:rsid w:val="00674FF1"/>
    <w:rsid w:val="00675A8D"/>
    <w:rsid w:val="00676434"/>
    <w:rsid w:val="00676DBB"/>
    <w:rsid w:val="00676EA2"/>
    <w:rsid w:val="0068045B"/>
    <w:rsid w:val="00680E20"/>
    <w:rsid w:val="006837C2"/>
    <w:rsid w:val="00683CCE"/>
    <w:rsid w:val="006851E1"/>
    <w:rsid w:val="00685D6C"/>
    <w:rsid w:val="006864E2"/>
    <w:rsid w:val="00686815"/>
    <w:rsid w:val="00687D6E"/>
    <w:rsid w:val="006909D6"/>
    <w:rsid w:val="00692DCC"/>
    <w:rsid w:val="00693137"/>
    <w:rsid w:val="00693691"/>
    <w:rsid w:val="006940BC"/>
    <w:rsid w:val="0069433E"/>
    <w:rsid w:val="0069570E"/>
    <w:rsid w:val="00695BF7"/>
    <w:rsid w:val="00695DDC"/>
    <w:rsid w:val="006961C3"/>
    <w:rsid w:val="0069690E"/>
    <w:rsid w:val="0069756E"/>
    <w:rsid w:val="00697FE6"/>
    <w:rsid w:val="006A00E4"/>
    <w:rsid w:val="006A0A84"/>
    <w:rsid w:val="006A1E5B"/>
    <w:rsid w:val="006A1FC6"/>
    <w:rsid w:val="006A2A8B"/>
    <w:rsid w:val="006A2D3D"/>
    <w:rsid w:val="006A30E5"/>
    <w:rsid w:val="006A35AD"/>
    <w:rsid w:val="006A44BF"/>
    <w:rsid w:val="006A48E7"/>
    <w:rsid w:val="006A5EA0"/>
    <w:rsid w:val="006A657B"/>
    <w:rsid w:val="006A6C8D"/>
    <w:rsid w:val="006A7042"/>
    <w:rsid w:val="006A716D"/>
    <w:rsid w:val="006A72AA"/>
    <w:rsid w:val="006A737B"/>
    <w:rsid w:val="006A76BC"/>
    <w:rsid w:val="006A7FEC"/>
    <w:rsid w:val="006B0D95"/>
    <w:rsid w:val="006B0DDC"/>
    <w:rsid w:val="006B0E89"/>
    <w:rsid w:val="006B114B"/>
    <w:rsid w:val="006B1AFC"/>
    <w:rsid w:val="006B2B06"/>
    <w:rsid w:val="006B2B3C"/>
    <w:rsid w:val="006B33E3"/>
    <w:rsid w:val="006B3A09"/>
    <w:rsid w:val="006B3F1B"/>
    <w:rsid w:val="006B414C"/>
    <w:rsid w:val="006B4F84"/>
    <w:rsid w:val="006B5CCB"/>
    <w:rsid w:val="006B6480"/>
    <w:rsid w:val="006B6F3F"/>
    <w:rsid w:val="006B76BF"/>
    <w:rsid w:val="006C19AC"/>
    <w:rsid w:val="006C1A33"/>
    <w:rsid w:val="006C2012"/>
    <w:rsid w:val="006C20D1"/>
    <w:rsid w:val="006C2A15"/>
    <w:rsid w:val="006C3483"/>
    <w:rsid w:val="006C39C7"/>
    <w:rsid w:val="006C3DBC"/>
    <w:rsid w:val="006C417B"/>
    <w:rsid w:val="006C4BB2"/>
    <w:rsid w:val="006C55E1"/>
    <w:rsid w:val="006C5743"/>
    <w:rsid w:val="006C5B21"/>
    <w:rsid w:val="006C6E4E"/>
    <w:rsid w:val="006C70E4"/>
    <w:rsid w:val="006D0CAD"/>
    <w:rsid w:val="006D0EC9"/>
    <w:rsid w:val="006D1285"/>
    <w:rsid w:val="006D14A6"/>
    <w:rsid w:val="006D237D"/>
    <w:rsid w:val="006D2FD1"/>
    <w:rsid w:val="006D339A"/>
    <w:rsid w:val="006D3478"/>
    <w:rsid w:val="006D3B66"/>
    <w:rsid w:val="006D3E78"/>
    <w:rsid w:val="006D414E"/>
    <w:rsid w:val="006D453F"/>
    <w:rsid w:val="006D4DD0"/>
    <w:rsid w:val="006D5316"/>
    <w:rsid w:val="006D5D23"/>
    <w:rsid w:val="006D6887"/>
    <w:rsid w:val="006D75F2"/>
    <w:rsid w:val="006E0CA7"/>
    <w:rsid w:val="006E11CA"/>
    <w:rsid w:val="006E13DC"/>
    <w:rsid w:val="006E153D"/>
    <w:rsid w:val="006E1893"/>
    <w:rsid w:val="006E2BA9"/>
    <w:rsid w:val="006E379E"/>
    <w:rsid w:val="006E5237"/>
    <w:rsid w:val="006E56ED"/>
    <w:rsid w:val="006E6240"/>
    <w:rsid w:val="006E76E7"/>
    <w:rsid w:val="006E78E1"/>
    <w:rsid w:val="006F0075"/>
    <w:rsid w:val="006F02F9"/>
    <w:rsid w:val="006F07A1"/>
    <w:rsid w:val="006F0D99"/>
    <w:rsid w:val="006F0FAF"/>
    <w:rsid w:val="006F0FFA"/>
    <w:rsid w:val="006F158E"/>
    <w:rsid w:val="006F3620"/>
    <w:rsid w:val="006F3736"/>
    <w:rsid w:val="006F3A56"/>
    <w:rsid w:val="006F4B48"/>
    <w:rsid w:val="006F5D0B"/>
    <w:rsid w:val="006F5D22"/>
    <w:rsid w:val="006F70F2"/>
    <w:rsid w:val="006F7407"/>
    <w:rsid w:val="006F7A7C"/>
    <w:rsid w:val="00700188"/>
    <w:rsid w:val="00700570"/>
    <w:rsid w:val="007006A0"/>
    <w:rsid w:val="00700D88"/>
    <w:rsid w:val="00700F33"/>
    <w:rsid w:val="00701079"/>
    <w:rsid w:val="0070150A"/>
    <w:rsid w:val="0070200F"/>
    <w:rsid w:val="007027C9"/>
    <w:rsid w:val="00702982"/>
    <w:rsid w:val="00702CB9"/>
    <w:rsid w:val="00704458"/>
    <w:rsid w:val="00704735"/>
    <w:rsid w:val="00705192"/>
    <w:rsid w:val="00705BA1"/>
    <w:rsid w:val="00706A81"/>
    <w:rsid w:val="0070729D"/>
    <w:rsid w:val="0071070E"/>
    <w:rsid w:val="00710B19"/>
    <w:rsid w:val="00710FB2"/>
    <w:rsid w:val="007118A7"/>
    <w:rsid w:val="00711C89"/>
    <w:rsid w:val="007132AA"/>
    <w:rsid w:val="00714D14"/>
    <w:rsid w:val="00714F65"/>
    <w:rsid w:val="00715219"/>
    <w:rsid w:val="00716AE0"/>
    <w:rsid w:val="00716F52"/>
    <w:rsid w:val="00717222"/>
    <w:rsid w:val="00717445"/>
    <w:rsid w:val="00720586"/>
    <w:rsid w:val="00720C97"/>
    <w:rsid w:val="00721554"/>
    <w:rsid w:val="00721706"/>
    <w:rsid w:val="00723505"/>
    <w:rsid w:val="007235FC"/>
    <w:rsid w:val="00724219"/>
    <w:rsid w:val="00724D35"/>
    <w:rsid w:val="00725A88"/>
    <w:rsid w:val="00727376"/>
    <w:rsid w:val="0073103F"/>
    <w:rsid w:val="00731D1E"/>
    <w:rsid w:val="00732539"/>
    <w:rsid w:val="007328AA"/>
    <w:rsid w:val="00732AFD"/>
    <w:rsid w:val="00732C20"/>
    <w:rsid w:val="00734B05"/>
    <w:rsid w:val="007356DE"/>
    <w:rsid w:val="0073572E"/>
    <w:rsid w:val="00736CB3"/>
    <w:rsid w:val="00736D5B"/>
    <w:rsid w:val="0073701D"/>
    <w:rsid w:val="007370D5"/>
    <w:rsid w:val="00737F3B"/>
    <w:rsid w:val="00740714"/>
    <w:rsid w:val="00740B96"/>
    <w:rsid w:val="00740EEC"/>
    <w:rsid w:val="0074141C"/>
    <w:rsid w:val="007424F6"/>
    <w:rsid w:val="00742593"/>
    <w:rsid w:val="00743208"/>
    <w:rsid w:val="00743F16"/>
    <w:rsid w:val="00743FF4"/>
    <w:rsid w:val="007445FC"/>
    <w:rsid w:val="007447C4"/>
    <w:rsid w:val="00744D93"/>
    <w:rsid w:val="0074508F"/>
    <w:rsid w:val="007456D0"/>
    <w:rsid w:val="00746A79"/>
    <w:rsid w:val="00750960"/>
    <w:rsid w:val="007521D3"/>
    <w:rsid w:val="007535EC"/>
    <w:rsid w:val="00753890"/>
    <w:rsid w:val="00753BC7"/>
    <w:rsid w:val="00753E84"/>
    <w:rsid w:val="00753E95"/>
    <w:rsid w:val="00754376"/>
    <w:rsid w:val="00755081"/>
    <w:rsid w:val="00755BBC"/>
    <w:rsid w:val="007565D5"/>
    <w:rsid w:val="00756DA2"/>
    <w:rsid w:val="0075710D"/>
    <w:rsid w:val="00757553"/>
    <w:rsid w:val="0076354A"/>
    <w:rsid w:val="00764C8C"/>
    <w:rsid w:val="00764CB2"/>
    <w:rsid w:val="00764EBB"/>
    <w:rsid w:val="00765038"/>
    <w:rsid w:val="0076544A"/>
    <w:rsid w:val="00767530"/>
    <w:rsid w:val="007707CA"/>
    <w:rsid w:val="0077232F"/>
    <w:rsid w:val="00773C71"/>
    <w:rsid w:val="00774838"/>
    <w:rsid w:val="00774C26"/>
    <w:rsid w:val="00777568"/>
    <w:rsid w:val="00777DCC"/>
    <w:rsid w:val="00780638"/>
    <w:rsid w:val="00780CE7"/>
    <w:rsid w:val="00781205"/>
    <w:rsid w:val="00781453"/>
    <w:rsid w:val="00782B7A"/>
    <w:rsid w:val="00783884"/>
    <w:rsid w:val="00783AC8"/>
    <w:rsid w:val="0078465C"/>
    <w:rsid w:val="007861BE"/>
    <w:rsid w:val="00786A6E"/>
    <w:rsid w:val="00790FC5"/>
    <w:rsid w:val="00790FED"/>
    <w:rsid w:val="00791404"/>
    <w:rsid w:val="007914EC"/>
    <w:rsid w:val="00792227"/>
    <w:rsid w:val="0079237A"/>
    <w:rsid w:val="007923B5"/>
    <w:rsid w:val="007923E8"/>
    <w:rsid w:val="00792585"/>
    <w:rsid w:val="00793569"/>
    <w:rsid w:val="00794213"/>
    <w:rsid w:val="007951F1"/>
    <w:rsid w:val="00795482"/>
    <w:rsid w:val="00796A53"/>
    <w:rsid w:val="007978A4"/>
    <w:rsid w:val="007A024D"/>
    <w:rsid w:val="007A2336"/>
    <w:rsid w:val="007A2FE4"/>
    <w:rsid w:val="007A336B"/>
    <w:rsid w:val="007A39C9"/>
    <w:rsid w:val="007A3CA4"/>
    <w:rsid w:val="007A4777"/>
    <w:rsid w:val="007A52B9"/>
    <w:rsid w:val="007A607D"/>
    <w:rsid w:val="007B2D37"/>
    <w:rsid w:val="007B3239"/>
    <w:rsid w:val="007B4D63"/>
    <w:rsid w:val="007B705A"/>
    <w:rsid w:val="007B77E9"/>
    <w:rsid w:val="007B7F3F"/>
    <w:rsid w:val="007C0883"/>
    <w:rsid w:val="007C0C82"/>
    <w:rsid w:val="007C0DFC"/>
    <w:rsid w:val="007C16E8"/>
    <w:rsid w:val="007C1DF4"/>
    <w:rsid w:val="007C1DFC"/>
    <w:rsid w:val="007C1EF4"/>
    <w:rsid w:val="007C1FF5"/>
    <w:rsid w:val="007C2CE3"/>
    <w:rsid w:val="007C421B"/>
    <w:rsid w:val="007C50C9"/>
    <w:rsid w:val="007C5D40"/>
    <w:rsid w:val="007C7CCB"/>
    <w:rsid w:val="007D0888"/>
    <w:rsid w:val="007D13B8"/>
    <w:rsid w:val="007D1786"/>
    <w:rsid w:val="007D18F1"/>
    <w:rsid w:val="007D39E5"/>
    <w:rsid w:val="007D4497"/>
    <w:rsid w:val="007D45F3"/>
    <w:rsid w:val="007D4EFA"/>
    <w:rsid w:val="007D4F1A"/>
    <w:rsid w:val="007D59EE"/>
    <w:rsid w:val="007D5A64"/>
    <w:rsid w:val="007D5A8D"/>
    <w:rsid w:val="007D5AD0"/>
    <w:rsid w:val="007D5EC1"/>
    <w:rsid w:val="007D6F00"/>
    <w:rsid w:val="007D7843"/>
    <w:rsid w:val="007E0E4B"/>
    <w:rsid w:val="007E1AE0"/>
    <w:rsid w:val="007E2467"/>
    <w:rsid w:val="007E3047"/>
    <w:rsid w:val="007E33A0"/>
    <w:rsid w:val="007E3892"/>
    <w:rsid w:val="007E5155"/>
    <w:rsid w:val="007E536E"/>
    <w:rsid w:val="007E5648"/>
    <w:rsid w:val="007E6086"/>
    <w:rsid w:val="007E6468"/>
    <w:rsid w:val="007E6552"/>
    <w:rsid w:val="007E678B"/>
    <w:rsid w:val="007E6E60"/>
    <w:rsid w:val="007E7064"/>
    <w:rsid w:val="007E7432"/>
    <w:rsid w:val="007E792C"/>
    <w:rsid w:val="007E7A92"/>
    <w:rsid w:val="007F35C3"/>
    <w:rsid w:val="007F40FC"/>
    <w:rsid w:val="007F41FC"/>
    <w:rsid w:val="007F4459"/>
    <w:rsid w:val="007F5AF1"/>
    <w:rsid w:val="007F5BB4"/>
    <w:rsid w:val="007F72E3"/>
    <w:rsid w:val="008011E3"/>
    <w:rsid w:val="0080176F"/>
    <w:rsid w:val="00801B86"/>
    <w:rsid w:val="00801EA5"/>
    <w:rsid w:val="008020C5"/>
    <w:rsid w:val="00803589"/>
    <w:rsid w:val="008038DD"/>
    <w:rsid w:val="0080756B"/>
    <w:rsid w:val="00807C81"/>
    <w:rsid w:val="00810472"/>
    <w:rsid w:val="00811610"/>
    <w:rsid w:val="008116DE"/>
    <w:rsid w:val="008122E4"/>
    <w:rsid w:val="0081236D"/>
    <w:rsid w:val="00812654"/>
    <w:rsid w:val="00812B64"/>
    <w:rsid w:val="008136DE"/>
    <w:rsid w:val="00813A2B"/>
    <w:rsid w:val="00814966"/>
    <w:rsid w:val="008153B0"/>
    <w:rsid w:val="0081594E"/>
    <w:rsid w:val="00815CD6"/>
    <w:rsid w:val="00815F4F"/>
    <w:rsid w:val="00816CA8"/>
    <w:rsid w:val="00817491"/>
    <w:rsid w:val="00817BDE"/>
    <w:rsid w:val="00820308"/>
    <w:rsid w:val="008204E6"/>
    <w:rsid w:val="00820C92"/>
    <w:rsid w:val="008223F2"/>
    <w:rsid w:val="00823784"/>
    <w:rsid w:val="008258A1"/>
    <w:rsid w:val="008260DF"/>
    <w:rsid w:val="00826517"/>
    <w:rsid w:val="00826972"/>
    <w:rsid w:val="0083141E"/>
    <w:rsid w:val="00831A1F"/>
    <w:rsid w:val="00831EFE"/>
    <w:rsid w:val="0083269D"/>
    <w:rsid w:val="00832F22"/>
    <w:rsid w:val="00834032"/>
    <w:rsid w:val="008340B0"/>
    <w:rsid w:val="0083477B"/>
    <w:rsid w:val="00835088"/>
    <w:rsid w:val="008356C3"/>
    <w:rsid w:val="008362E0"/>
    <w:rsid w:val="0083748B"/>
    <w:rsid w:val="00837B84"/>
    <w:rsid w:val="008400E6"/>
    <w:rsid w:val="008403B6"/>
    <w:rsid w:val="00840BD2"/>
    <w:rsid w:val="00840CD5"/>
    <w:rsid w:val="008412A6"/>
    <w:rsid w:val="008428A7"/>
    <w:rsid w:val="00842E4E"/>
    <w:rsid w:val="00843743"/>
    <w:rsid w:val="0084391C"/>
    <w:rsid w:val="00845235"/>
    <w:rsid w:val="00845753"/>
    <w:rsid w:val="00845851"/>
    <w:rsid w:val="00845DDE"/>
    <w:rsid w:val="00846F9D"/>
    <w:rsid w:val="00847B1C"/>
    <w:rsid w:val="008503FB"/>
    <w:rsid w:val="00850801"/>
    <w:rsid w:val="00850947"/>
    <w:rsid w:val="0085219C"/>
    <w:rsid w:val="00852550"/>
    <w:rsid w:val="00852A65"/>
    <w:rsid w:val="00853184"/>
    <w:rsid w:val="0085344E"/>
    <w:rsid w:val="008539A7"/>
    <w:rsid w:val="00854B19"/>
    <w:rsid w:val="00856ED7"/>
    <w:rsid w:val="0085780F"/>
    <w:rsid w:val="008601E8"/>
    <w:rsid w:val="0086098D"/>
    <w:rsid w:val="00864676"/>
    <w:rsid w:val="0086487C"/>
    <w:rsid w:val="00864CE8"/>
    <w:rsid w:val="00865D57"/>
    <w:rsid w:val="00866282"/>
    <w:rsid w:val="00867A00"/>
    <w:rsid w:val="0087017D"/>
    <w:rsid w:val="008705C6"/>
    <w:rsid w:val="00870974"/>
    <w:rsid w:val="00870ABC"/>
    <w:rsid w:val="00870ECF"/>
    <w:rsid w:val="0087110F"/>
    <w:rsid w:val="00871A04"/>
    <w:rsid w:val="00872B8C"/>
    <w:rsid w:val="00872EE9"/>
    <w:rsid w:val="00873417"/>
    <w:rsid w:val="00873822"/>
    <w:rsid w:val="00874314"/>
    <w:rsid w:val="00875439"/>
    <w:rsid w:val="00875DB1"/>
    <w:rsid w:val="008766F9"/>
    <w:rsid w:val="00877129"/>
    <w:rsid w:val="008771FD"/>
    <w:rsid w:val="0088118B"/>
    <w:rsid w:val="008816A7"/>
    <w:rsid w:val="008818A5"/>
    <w:rsid w:val="008818E0"/>
    <w:rsid w:val="00882E98"/>
    <w:rsid w:val="00884221"/>
    <w:rsid w:val="00884A16"/>
    <w:rsid w:val="0088553E"/>
    <w:rsid w:val="008856C2"/>
    <w:rsid w:val="00886232"/>
    <w:rsid w:val="008865AF"/>
    <w:rsid w:val="0088686D"/>
    <w:rsid w:val="00886884"/>
    <w:rsid w:val="00886B1E"/>
    <w:rsid w:val="00887B13"/>
    <w:rsid w:val="00887CEF"/>
    <w:rsid w:val="0089041F"/>
    <w:rsid w:val="0089088A"/>
    <w:rsid w:val="008908EE"/>
    <w:rsid w:val="00890D02"/>
    <w:rsid w:val="00890EC5"/>
    <w:rsid w:val="00891370"/>
    <w:rsid w:val="00891B3E"/>
    <w:rsid w:val="0089202B"/>
    <w:rsid w:val="00892251"/>
    <w:rsid w:val="008929D2"/>
    <w:rsid w:val="0089311F"/>
    <w:rsid w:val="0089362C"/>
    <w:rsid w:val="00893DCF"/>
    <w:rsid w:val="00894D70"/>
    <w:rsid w:val="00897FB1"/>
    <w:rsid w:val="008A0176"/>
    <w:rsid w:val="008A0546"/>
    <w:rsid w:val="008A0737"/>
    <w:rsid w:val="008A22D1"/>
    <w:rsid w:val="008A2AEF"/>
    <w:rsid w:val="008A2E43"/>
    <w:rsid w:val="008A2EC7"/>
    <w:rsid w:val="008A3113"/>
    <w:rsid w:val="008A31C4"/>
    <w:rsid w:val="008A4625"/>
    <w:rsid w:val="008A48D2"/>
    <w:rsid w:val="008A586F"/>
    <w:rsid w:val="008A5B7E"/>
    <w:rsid w:val="008A7055"/>
    <w:rsid w:val="008A7D58"/>
    <w:rsid w:val="008B18A7"/>
    <w:rsid w:val="008B24E9"/>
    <w:rsid w:val="008B371C"/>
    <w:rsid w:val="008B5A61"/>
    <w:rsid w:val="008B63CE"/>
    <w:rsid w:val="008B6B71"/>
    <w:rsid w:val="008B720C"/>
    <w:rsid w:val="008B7F91"/>
    <w:rsid w:val="008C003F"/>
    <w:rsid w:val="008C1CBF"/>
    <w:rsid w:val="008C301A"/>
    <w:rsid w:val="008C4817"/>
    <w:rsid w:val="008D0278"/>
    <w:rsid w:val="008D051F"/>
    <w:rsid w:val="008D05EC"/>
    <w:rsid w:val="008D15C9"/>
    <w:rsid w:val="008D3AF6"/>
    <w:rsid w:val="008D484B"/>
    <w:rsid w:val="008D4F97"/>
    <w:rsid w:val="008D5380"/>
    <w:rsid w:val="008D538D"/>
    <w:rsid w:val="008D5B31"/>
    <w:rsid w:val="008D7BEA"/>
    <w:rsid w:val="008E0655"/>
    <w:rsid w:val="008E2136"/>
    <w:rsid w:val="008E25FF"/>
    <w:rsid w:val="008E2BB4"/>
    <w:rsid w:val="008E2EA6"/>
    <w:rsid w:val="008E36A4"/>
    <w:rsid w:val="008E3919"/>
    <w:rsid w:val="008E43AF"/>
    <w:rsid w:val="008E4C97"/>
    <w:rsid w:val="008E53E6"/>
    <w:rsid w:val="008E5461"/>
    <w:rsid w:val="008E6BBB"/>
    <w:rsid w:val="008E6E6F"/>
    <w:rsid w:val="008E725D"/>
    <w:rsid w:val="008F0BA1"/>
    <w:rsid w:val="008F1FB7"/>
    <w:rsid w:val="008F272E"/>
    <w:rsid w:val="008F2B9C"/>
    <w:rsid w:val="008F3765"/>
    <w:rsid w:val="008F5453"/>
    <w:rsid w:val="008F6A2E"/>
    <w:rsid w:val="009021D1"/>
    <w:rsid w:val="00903714"/>
    <w:rsid w:val="00906380"/>
    <w:rsid w:val="009064F6"/>
    <w:rsid w:val="00910CFD"/>
    <w:rsid w:val="009115E1"/>
    <w:rsid w:val="0091185C"/>
    <w:rsid w:val="0091213B"/>
    <w:rsid w:val="0091289E"/>
    <w:rsid w:val="00912AD1"/>
    <w:rsid w:val="00913916"/>
    <w:rsid w:val="00914016"/>
    <w:rsid w:val="009142BC"/>
    <w:rsid w:val="0091507F"/>
    <w:rsid w:val="00915849"/>
    <w:rsid w:val="00915B9C"/>
    <w:rsid w:val="00916134"/>
    <w:rsid w:val="009176F0"/>
    <w:rsid w:val="00920582"/>
    <w:rsid w:val="009227E2"/>
    <w:rsid w:val="0092303A"/>
    <w:rsid w:val="00923979"/>
    <w:rsid w:val="00923D13"/>
    <w:rsid w:val="009240A5"/>
    <w:rsid w:val="00924F6C"/>
    <w:rsid w:val="00925A18"/>
    <w:rsid w:val="00926DE6"/>
    <w:rsid w:val="00927E2D"/>
    <w:rsid w:val="00930D24"/>
    <w:rsid w:val="00931436"/>
    <w:rsid w:val="00931558"/>
    <w:rsid w:val="009327E7"/>
    <w:rsid w:val="00933107"/>
    <w:rsid w:val="00933F5E"/>
    <w:rsid w:val="009349B9"/>
    <w:rsid w:val="00934E33"/>
    <w:rsid w:val="00934F4A"/>
    <w:rsid w:val="009354A1"/>
    <w:rsid w:val="00936A79"/>
    <w:rsid w:val="00936E35"/>
    <w:rsid w:val="00940B3A"/>
    <w:rsid w:val="00940B87"/>
    <w:rsid w:val="009412E0"/>
    <w:rsid w:val="00941515"/>
    <w:rsid w:val="0094196C"/>
    <w:rsid w:val="00942046"/>
    <w:rsid w:val="00942129"/>
    <w:rsid w:val="00945735"/>
    <w:rsid w:val="0094645F"/>
    <w:rsid w:val="009468E7"/>
    <w:rsid w:val="00947AEC"/>
    <w:rsid w:val="00947D65"/>
    <w:rsid w:val="00950244"/>
    <w:rsid w:val="009502DD"/>
    <w:rsid w:val="00951C36"/>
    <w:rsid w:val="00952718"/>
    <w:rsid w:val="00952AA1"/>
    <w:rsid w:val="00953055"/>
    <w:rsid w:val="00954556"/>
    <w:rsid w:val="009545AA"/>
    <w:rsid w:val="00954DDB"/>
    <w:rsid w:val="00955F99"/>
    <w:rsid w:val="009561BD"/>
    <w:rsid w:val="00956B8E"/>
    <w:rsid w:val="00956BCA"/>
    <w:rsid w:val="00961E04"/>
    <w:rsid w:val="00962157"/>
    <w:rsid w:val="00962992"/>
    <w:rsid w:val="009642B9"/>
    <w:rsid w:val="00964D6D"/>
    <w:rsid w:val="00965B4F"/>
    <w:rsid w:val="00965FA4"/>
    <w:rsid w:val="00965FD4"/>
    <w:rsid w:val="009664EF"/>
    <w:rsid w:val="0096683F"/>
    <w:rsid w:val="009675E9"/>
    <w:rsid w:val="00970B45"/>
    <w:rsid w:val="0097143E"/>
    <w:rsid w:val="009717A3"/>
    <w:rsid w:val="009717EF"/>
    <w:rsid w:val="00971CEE"/>
    <w:rsid w:val="00971D42"/>
    <w:rsid w:val="00971D92"/>
    <w:rsid w:val="00972387"/>
    <w:rsid w:val="009731CF"/>
    <w:rsid w:val="00973320"/>
    <w:rsid w:val="00973FB2"/>
    <w:rsid w:val="00974904"/>
    <w:rsid w:val="00975C20"/>
    <w:rsid w:val="009765B8"/>
    <w:rsid w:val="0098077F"/>
    <w:rsid w:val="00980DCE"/>
    <w:rsid w:val="00980ED5"/>
    <w:rsid w:val="0098155D"/>
    <w:rsid w:val="009816A3"/>
    <w:rsid w:val="00981E5E"/>
    <w:rsid w:val="00983BFF"/>
    <w:rsid w:val="00984C74"/>
    <w:rsid w:val="009854BC"/>
    <w:rsid w:val="009867D6"/>
    <w:rsid w:val="00986B35"/>
    <w:rsid w:val="00990225"/>
    <w:rsid w:val="00990352"/>
    <w:rsid w:val="009904A4"/>
    <w:rsid w:val="00990569"/>
    <w:rsid w:val="00990574"/>
    <w:rsid w:val="00990A63"/>
    <w:rsid w:val="00990BFB"/>
    <w:rsid w:val="00990D18"/>
    <w:rsid w:val="009913A4"/>
    <w:rsid w:val="00991DAA"/>
    <w:rsid w:val="0099539F"/>
    <w:rsid w:val="00995947"/>
    <w:rsid w:val="00997281"/>
    <w:rsid w:val="00997D0D"/>
    <w:rsid w:val="009A0225"/>
    <w:rsid w:val="009A195F"/>
    <w:rsid w:val="009A3274"/>
    <w:rsid w:val="009A3D5B"/>
    <w:rsid w:val="009A52C7"/>
    <w:rsid w:val="009A6095"/>
    <w:rsid w:val="009A6101"/>
    <w:rsid w:val="009A6C23"/>
    <w:rsid w:val="009A76A4"/>
    <w:rsid w:val="009A7BDE"/>
    <w:rsid w:val="009A7FF8"/>
    <w:rsid w:val="009B0734"/>
    <w:rsid w:val="009B159D"/>
    <w:rsid w:val="009B1D48"/>
    <w:rsid w:val="009B39B5"/>
    <w:rsid w:val="009B3D1D"/>
    <w:rsid w:val="009B3E35"/>
    <w:rsid w:val="009B3EF9"/>
    <w:rsid w:val="009B4374"/>
    <w:rsid w:val="009B4958"/>
    <w:rsid w:val="009B4FB0"/>
    <w:rsid w:val="009B5C2C"/>
    <w:rsid w:val="009B6E02"/>
    <w:rsid w:val="009B7E72"/>
    <w:rsid w:val="009C0AC4"/>
    <w:rsid w:val="009C0E88"/>
    <w:rsid w:val="009C1436"/>
    <w:rsid w:val="009C1D20"/>
    <w:rsid w:val="009C1E9E"/>
    <w:rsid w:val="009C2AA2"/>
    <w:rsid w:val="009C3606"/>
    <w:rsid w:val="009C568B"/>
    <w:rsid w:val="009C5FF0"/>
    <w:rsid w:val="009C63A1"/>
    <w:rsid w:val="009C65FD"/>
    <w:rsid w:val="009D190C"/>
    <w:rsid w:val="009D1D8D"/>
    <w:rsid w:val="009D22D5"/>
    <w:rsid w:val="009D2422"/>
    <w:rsid w:val="009D24CD"/>
    <w:rsid w:val="009D2D43"/>
    <w:rsid w:val="009D2DAE"/>
    <w:rsid w:val="009D332C"/>
    <w:rsid w:val="009D3E8A"/>
    <w:rsid w:val="009D64B6"/>
    <w:rsid w:val="009D6F5C"/>
    <w:rsid w:val="009D713B"/>
    <w:rsid w:val="009D7A3D"/>
    <w:rsid w:val="009D7E61"/>
    <w:rsid w:val="009E0F5C"/>
    <w:rsid w:val="009E236B"/>
    <w:rsid w:val="009E2735"/>
    <w:rsid w:val="009E3BD4"/>
    <w:rsid w:val="009E4F12"/>
    <w:rsid w:val="009E5D48"/>
    <w:rsid w:val="009E627E"/>
    <w:rsid w:val="009F2661"/>
    <w:rsid w:val="009F2BED"/>
    <w:rsid w:val="009F30D2"/>
    <w:rsid w:val="009F33BA"/>
    <w:rsid w:val="009F3C19"/>
    <w:rsid w:val="009F47C7"/>
    <w:rsid w:val="009F5647"/>
    <w:rsid w:val="009F5BD0"/>
    <w:rsid w:val="009F5C4D"/>
    <w:rsid w:val="009F6281"/>
    <w:rsid w:val="009F77D7"/>
    <w:rsid w:val="009F7E70"/>
    <w:rsid w:val="00A00E65"/>
    <w:rsid w:val="00A0106D"/>
    <w:rsid w:val="00A01879"/>
    <w:rsid w:val="00A04296"/>
    <w:rsid w:val="00A044D8"/>
    <w:rsid w:val="00A046A0"/>
    <w:rsid w:val="00A04C01"/>
    <w:rsid w:val="00A06657"/>
    <w:rsid w:val="00A0693D"/>
    <w:rsid w:val="00A07B03"/>
    <w:rsid w:val="00A128C8"/>
    <w:rsid w:val="00A13460"/>
    <w:rsid w:val="00A15576"/>
    <w:rsid w:val="00A15D00"/>
    <w:rsid w:val="00A168DF"/>
    <w:rsid w:val="00A169F7"/>
    <w:rsid w:val="00A173CD"/>
    <w:rsid w:val="00A17E84"/>
    <w:rsid w:val="00A20E33"/>
    <w:rsid w:val="00A21195"/>
    <w:rsid w:val="00A211D7"/>
    <w:rsid w:val="00A22535"/>
    <w:rsid w:val="00A227E2"/>
    <w:rsid w:val="00A22975"/>
    <w:rsid w:val="00A23857"/>
    <w:rsid w:val="00A23A54"/>
    <w:rsid w:val="00A24539"/>
    <w:rsid w:val="00A24A51"/>
    <w:rsid w:val="00A25475"/>
    <w:rsid w:val="00A25E42"/>
    <w:rsid w:val="00A26222"/>
    <w:rsid w:val="00A26371"/>
    <w:rsid w:val="00A27983"/>
    <w:rsid w:val="00A31441"/>
    <w:rsid w:val="00A31541"/>
    <w:rsid w:val="00A31AB1"/>
    <w:rsid w:val="00A341A6"/>
    <w:rsid w:val="00A3425F"/>
    <w:rsid w:val="00A34564"/>
    <w:rsid w:val="00A3466F"/>
    <w:rsid w:val="00A3526D"/>
    <w:rsid w:val="00A356B8"/>
    <w:rsid w:val="00A35C3D"/>
    <w:rsid w:val="00A3753C"/>
    <w:rsid w:val="00A40137"/>
    <w:rsid w:val="00A4060D"/>
    <w:rsid w:val="00A42AD8"/>
    <w:rsid w:val="00A42C17"/>
    <w:rsid w:val="00A433B9"/>
    <w:rsid w:val="00A43A8D"/>
    <w:rsid w:val="00A4479C"/>
    <w:rsid w:val="00A44C7C"/>
    <w:rsid w:val="00A45CE1"/>
    <w:rsid w:val="00A47679"/>
    <w:rsid w:val="00A47882"/>
    <w:rsid w:val="00A501AC"/>
    <w:rsid w:val="00A519FB"/>
    <w:rsid w:val="00A53A51"/>
    <w:rsid w:val="00A54EA1"/>
    <w:rsid w:val="00A55770"/>
    <w:rsid w:val="00A55EA1"/>
    <w:rsid w:val="00A56232"/>
    <w:rsid w:val="00A56B73"/>
    <w:rsid w:val="00A60641"/>
    <w:rsid w:val="00A61054"/>
    <w:rsid w:val="00A617C2"/>
    <w:rsid w:val="00A61896"/>
    <w:rsid w:val="00A632B2"/>
    <w:rsid w:val="00A63940"/>
    <w:rsid w:val="00A646D5"/>
    <w:rsid w:val="00A647E6"/>
    <w:rsid w:val="00A64DC0"/>
    <w:rsid w:val="00A6514F"/>
    <w:rsid w:val="00A65276"/>
    <w:rsid w:val="00A657FA"/>
    <w:rsid w:val="00A662CA"/>
    <w:rsid w:val="00A66D20"/>
    <w:rsid w:val="00A67C5E"/>
    <w:rsid w:val="00A71538"/>
    <w:rsid w:val="00A71D19"/>
    <w:rsid w:val="00A72173"/>
    <w:rsid w:val="00A76001"/>
    <w:rsid w:val="00A769C1"/>
    <w:rsid w:val="00A77718"/>
    <w:rsid w:val="00A80298"/>
    <w:rsid w:val="00A8071A"/>
    <w:rsid w:val="00A80773"/>
    <w:rsid w:val="00A8098E"/>
    <w:rsid w:val="00A80A27"/>
    <w:rsid w:val="00A81753"/>
    <w:rsid w:val="00A81E75"/>
    <w:rsid w:val="00A82B6B"/>
    <w:rsid w:val="00A83C75"/>
    <w:rsid w:val="00A8500D"/>
    <w:rsid w:val="00A856B4"/>
    <w:rsid w:val="00A87576"/>
    <w:rsid w:val="00A87C97"/>
    <w:rsid w:val="00A90075"/>
    <w:rsid w:val="00A9057C"/>
    <w:rsid w:val="00A92C44"/>
    <w:rsid w:val="00A92C81"/>
    <w:rsid w:val="00A93019"/>
    <w:rsid w:val="00A94890"/>
    <w:rsid w:val="00A94917"/>
    <w:rsid w:val="00A94B71"/>
    <w:rsid w:val="00A95720"/>
    <w:rsid w:val="00A95C6D"/>
    <w:rsid w:val="00A96227"/>
    <w:rsid w:val="00A96277"/>
    <w:rsid w:val="00A96858"/>
    <w:rsid w:val="00A9695E"/>
    <w:rsid w:val="00A96F01"/>
    <w:rsid w:val="00A96FE7"/>
    <w:rsid w:val="00A97C2E"/>
    <w:rsid w:val="00AA027A"/>
    <w:rsid w:val="00AA1213"/>
    <w:rsid w:val="00AA24C6"/>
    <w:rsid w:val="00AA35D6"/>
    <w:rsid w:val="00AA37D3"/>
    <w:rsid w:val="00AA57C7"/>
    <w:rsid w:val="00AA5B70"/>
    <w:rsid w:val="00AA5BFC"/>
    <w:rsid w:val="00AA65A1"/>
    <w:rsid w:val="00AA696A"/>
    <w:rsid w:val="00AA6DDB"/>
    <w:rsid w:val="00AA75E7"/>
    <w:rsid w:val="00AA7CEA"/>
    <w:rsid w:val="00AB002F"/>
    <w:rsid w:val="00AB0AAE"/>
    <w:rsid w:val="00AB16DC"/>
    <w:rsid w:val="00AB2D10"/>
    <w:rsid w:val="00AB4623"/>
    <w:rsid w:val="00AB46B0"/>
    <w:rsid w:val="00AB47F1"/>
    <w:rsid w:val="00AB4893"/>
    <w:rsid w:val="00AC1111"/>
    <w:rsid w:val="00AC1DC8"/>
    <w:rsid w:val="00AC2C91"/>
    <w:rsid w:val="00AC3CC6"/>
    <w:rsid w:val="00AC3D4A"/>
    <w:rsid w:val="00AC3DB1"/>
    <w:rsid w:val="00AC5733"/>
    <w:rsid w:val="00AC66EE"/>
    <w:rsid w:val="00AC685B"/>
    <w:rsid w:val="00AC792F"/>
    <w:rsid w:val="00AC7B59"/>
    <w:rsid w:val="00AD0B85"/>
    <w:rsid w:val="00AD1C98"/>
    <w:rsid w:val="00AD254C"/>
    <w:rsid w:val="00AD34F5"/>
    <w:rsid w:val="00AD3F97"/>
    <w:rsid w:val="00AD5D4F"/>
    <w:rsid w:val="00AD69E6"/>
    <w:rsid w:val="00AD724D"/>
    <w:rsid w:val="00AD7886"/>
    <w:rsid w:val="00AD7B39"/>
    <w:rsid w:val="00AE001E"/>
    <w:rsid w:val="00AE07D1"/>
    <w:rsid w:val="00AE2E34"/>
    <w:rsid w:val="00AE3979"/>
    <w:rsid w:val="00AE40AC"/>
    <w:rsid w:val="00AE5B77"/>
    <w:rsid w:val="00AE61BA"/>
    <w:rsid w:val="00AE68D2"/>
    <w:rsid w:val="00AE6AFE"/>
    <w:rsid w:val="00AE6EC8"/>
    <w:rsid w:val="00AE74B1"/>
    <w:rsid w:val="00AE7BA5"/>
    <w:rsid w:val="00AE7F36"/>
    <w:rsid w:val="00AF0F9F"/>
    <w:rsid w:val="00AF1027"/>
    <w:rsid w:val="00AF1095"/>
    <w:rsid w:val="00AF121D"/>
    <w:rsid w:val="00AF2904"/>
    <w:rsid w:val="00AF2DC2"/>
    <w:rsid w:val="00AF2EDE"/>
    <w:rsid w:val="00AF3D51"/>
    <w:rsid w:val="00AF4887"/>
    <w:rsid w:val="00AF496D"/>
    <w:rsid w:val="00AF5582"/>
    <w:rsid w:val="00AF6281"/>
    <w:rsid w:val="00AF62E2"/>
    <w:rsid w:val="00AF672F"/>
    <w:rsid w:val="00AF7732"/>
    <w:rsid w:val="00B00F33"/>
    <w:rsid w:val="00B011A9"/>
    <w:rsid w:val="00B02BD1"/>
    <w:rsid w:val="00B031C5"/>
    <w:rsid w:val="00B03272"/>
    <w:rsid w:val="00B04421"/>
    <w:rsid w:val="00B07058"/>
    <w:rsid w:val="00B10958"/>
    <w:rsid w:val="00B10966"/>
    <w:rsid w:val="00B10EBD"/>
    <w:rsid w:val="00B11242"/>
    <w:rsid w:val="00B1179F"/>
    <w:rsid w:val="00B11876"/>
    <w:rsid w:val="00B1212E"/>
    <w:rsid w:val="00B124ED"/>
    <w:rsid w:val="00B12B4A"/>
    <w:rsid w:val="00B12FDF"/>
    <w:rsid w:val="00B1350A"/>
    <w:rsid w:val="00B1359E"/>
    <w:rsid w:val="00B15182"/>
    <w:rsid w:val="00B15D7D"/>
    <w:rsid w:val="00B17371"/>
    <w:rsid w:val="00B173F7"/>
    <w:rsid w:val="00B17943"/>
    <w:rsid w:val="00B2115D"/>
    <w:rsid w:val="00B237F3"/>
    <w:rsid w:val="00B23CDA"/>
    <w:rsid w:val="00B24AA4"/>
    <w:rsid w:val="00B2597C"/>
    <w:rsid w:val="00B26097"/>
    <w:rsid w:val="00B266C1"/>
    <w:rsid w:val="00B268EB"/>
    <w:rsid w:val="00B271DE"/>
    <w:rsid w:val="00B274CF"/>
    <w:rsid w:val="00B27F6A"/>
    <w:rsid w:val="00B31812"/>
    <w:rsid w:val="00B31C65"/>
    <w:rsid w:val="00B31F0A"/>
    <w:rsid w:val="00B32FF1"/>
    <w:rsid w:val="00B331EC"/>
    <w:rsid w:val="00B336DA"/>
    <w:rsid w:val="00B34FEC"/>
    <w:rsid w:val="00B350EB"/>
    <w:rsid w:val="00B37677"/>
    <w:rsid w:val="00B41EDA"/>
    <w:rsid w:val="00B42F28"/>
    <w:rsid w:val="00B43728"/>
    <w:rsid w:val="00B4391D"/>
    <w:rsid w:val="00B444B7"/>
    <w:rsid w:val="00B44CA3"/>
    <w:rsid w:val="00B45287"/>
    <w:rsid w:val="00B45660"/>
    <w:rsid w:val="00B47717"/>
    <w:rsid w:val="00B50257"/>
    <w:rsid w:val="00B504A5"/>
    <w:rsid w:val="00B511EC"/>
    <w:rsid w:val="00B51594"/>
    <w:rsid w:val="00B51DE1"/>
    <w:rsid w:val="00B5370E"/>
    <w:rsid w:val="00B53F27"/>
    <w:rsid w:val="00B54A48"/>
    <w:rsid w:val="00B54F23"/>
    <w:rsid w:val="00B5517B"/>
    <w:rsid w:val="00B55BDE"/>
    <w:rsid w:val="00B56AF2"/>
    <w:rsid w:val="00B57080"/>
    <w:rsid w:val="00B5736C"/>
    <w:rsid w:val="00B60836"/>
    <w:rsid w:val="00B615EC"/>
    <w:rsid w:val="00B61B91"/>
    <w:rsid w:val="00B63D4A"/>
    <w:rsid w:val="00B640AC"/>
    <w:rsid w:val="00B64A2A"/>
    <w:rsid w:val="00B64B7C"/>
    <w:rsid w:val="00B654BD"/>
    <w:rsid w:val="00B66A68"/>
    <w:rsid w:val="00B670F0"/>
    <w:rsid w:val="00B674F5"/>
    <w:rsid w:val="00B675AF"/>
    <w:rsid w:val="00B679EE"/>
    <w:rsid w:val="00B700A9"/>
    <w:rsid w:val="00B71482"/>
    <w:rsid w:val="00B71C16"/>
    <w:rsid w:val="00B72E76"/>
    <w:rsid w:val="00B747CC"/>
    <w:rsid w:val="00B74823"/>
    <w:rsid w:val="00B74858"/>
    <w:rsid w:val="00B74A90"/>
    <w:rsid w:val="00B74AFE"/>
    <w:rsid w:val="00B7530C"/>
    <w:rsid w:val="00B75B87"/>
    <w:rsid w:val="00B75C43"/>
    <w:rsid w:val="00B7651C"/>
    <w:rsid w:val="00B77627"/>
    <w:rsid w:val="00B8017D"/>
    <w:rsid w:val="00B80420"/>
    <w:rsid w:val="00B82421"/>
    <w:rsid w:val="00B82DF7"/>
    <w:rsid w:val="00B84022"/>
    <w:rsid w:val="00B84BA1"/>
    <w:rsid w:val="00B85331"/>
    <w:rsid w:val="00B8592A"/>
    <w:rsid w:val="00B85D30"/>
    <w:rsid w:val="00B90244"/>
    <w:rsid w:val="00B90E57"/>
    <w:rsid w:val="00B9206A"/>
    <w:rsid w:val="00B92159"/>
    <w:rsid w:val="00B924F8"/>
    <w:rsid w:val="00B9271F"/>
    <w:rsid w:val="00B93569"/>
    <w:rsid w:val="00B939AB"/>
    <w:rsid w:val="00B93C22"/>
    <w:rsid w:val="00B9432E"/>
    <w:rsid w:val="00B94489"/>
    <w:rsid w:val="00B9466A"/>
    <w:rsid w:val="00B95246"/>
    <w:rsid w:val="00B96D1C"/>
    <w:rsid w:val="00B9761E"/>
    <w:rsid w:val="00B97E95"/>
    <w:rsid w:val="00BA0316"/>
    <w:rsid w:val="00BA0456"/>
    <w:rsid w:val="00BA075C"/>
    <w:rsid w:val="00BA083C"/>
    <w:rsid w:val="00BA16B9"/>
    <w:rsid w:val="00BA1DA9"/>
    <w:rsid w:val="00BA23FE"/>
    <w:rsid w:val="00BA2A64"/>
    <w:rsid w:val="00BA3D48"/>
    <w:rsid w:val="00BA4A0D"/>
    <w:rsid w:val="00BA5F59"/>
    <w:rsid w:val="00BA63CB"/>
    <w:rsid w:val="00BA6B34"/>
    <w:rsid w:val="00BB011B"/>
    <w:rsid w:val="00BB012D"/>
    <w:rsid w:val="00BB08E4"/>
    <w:rsid w:val="00BB21EE"/>
    <w:rsid w:val="00BB402A"/>
    <w:rsid w:val="00BB4639"/>
    <w:rsid w:val="00BB4769"/>
    <w:rsid w:val="00BB507C"/>
    <w:rsid w:val="00BB5ABC"/>
    <w:rsid w:val="00BB5EB5"/>
    <w:rsid w:val="00BB628A"/>
    <w:rsid w:val="00BB689B"/>
    <w:rsid w:val="00BB7A5E"/>
    <w:rsid w:val="00BC2228"/>
    <w:rsid w:val="00BC3B57"/>
    <w:rsid w:val="00BC3F51"/>
    <w:rsid w:val="00BC408E"/>
    <w:rsid w:val="00BC42C0"/>
    <w:rsid w:val="00BC601E"/>
    <w:rsid w:val="00BC650B"/>
    <w:rsid w:val="00BC6554"/>
    <w:rsid w:val="00BC74B6"/>
    <w:rsid w:val="00BC7F81"/>
    <w:rsid w:val="00BD162A"/>
    <w:rsid w:val="00BD1F1C"/>
    <w:rsid w:val="00BD2733"/>
    <w:rsid w:val="00BD2A71"/>
    <w:rsid w:val="00BD3AB4"/>
    <w:rsid w:val="00BD4E02"/>
    <w:rsid w:val="00BD52C7"/>
    <w:rsid w:val="00BD60DF"/>
    <w:rsid w:val="00BD6542"/>
    <w:rsid w:val="00BD683B"/>
    <w:rsid w:val="00BD77AB"/>
    <w:rsid w:val="00BD7E48"/>
    <w:rsid w:val="00BE02DC"/>
    <w:rsid w:val="00BE0BA5"/>
    <w:rsid w:val="00BE1173"/>
    <w:rsid w:val="00BE18F6"/>
    <w:rsid w:val="00BE246E"/>
    <w:rsid w:val="00BE27FB"/>
    <w:rsid w:val="00BE3257"/>
    <w:rsid w:val="00BE33E8"/>
    <w:rsid w:val="00BE34E5"/>
    <w:rsid w:val="00BE4E49"/>
    <w:rsid w:val="00BE5BB3"/>
    <w:rsid w:val="00BE618D"/>
    <w:rsid w:val="00BE6A31"/>
    <w:rsid w:val="00BE7483"/>
    <w:rsid w:val="00BF2D6E"/>
    <w:rsid w:val="00BF367F"/>
    <w:rsid w:val="00BF4589"/>
    <w:rsid w:val="00BF4A33"/>
    <w:rsid w:val="00BF54D6"/>
    <w:rsid w:val="00BF582F"/>
    <w:rsid w:val="00BF6B72"/>
    <w:rsid w:val="00BF7192"/>
    <w:rsid w:val="00BF72C7"/>
    <w:rsid w:val="00BF76F0"/>
    <w:rsid w:val="00BF7B04"/>
    <w:rsid w:val="00C0028C"/>
    <w:rsid w:val="00C006F8"/>
    <w:rsid w:val="00C0190E"/>
    <w:rsid w:val="00C02E7D"/>
    <w:rsid w:val="00C04453"/>
    <w:rsid w:val="00C059D5"/>
    <w:rsid w:val="00C05A8A"/>
    <w:rsid w:val="00C06D1A"/>
    <w:rsid w:val="00C07320"/>
    <w:rsid w:val="00C07391"/>
    <w:rsid w:val="00C1149A"/>
    <w:rsid w:val="00C11D7E"/>
    <w:rsid w:val="00C13993"/>
    <w:rsid w:val="00C14301"/>
    <w:rsid w:val="00C1433E"/>
    <w:rsid w:val="00C15642"/>
    <w:rsid w:val="00C16ACD"/>
    <w:rsid w:val="00C170C9"/>
    <w:rsid w:val="00C172DF"/>
    <w:rsid w:val="00C17578"/>
    <w:rsid w:val="00C1781E"/>
    <w:rsid w:val="00C20C73"/>
    <w:rsid w:val="00C21AAE"/>
    <w:rsid w:val="00C22E05"/>
    <w:rsid w:val="00C22EF1"/>
    <w:rsid w:val="00C23540"/>
    <w:rsid w:val="00C23971"/>
    <w:rsid w:val="00C23D8F"/>
    <w:rsid w:val="00C24816"/>
    <w:rsid w:val="00C26385"/>
    <w:rsid w:val="00C2738B"/>
    <w:rsid w:val="00C27F4C"/>
    <w:rsid w:val="00C30436"/>
    <w:rsid w:val="00C30DB6"/>
    <w:rsid w:val="00C3323C"/>
    <w:rsid w:val="00C332AF"/>
    <w:rsid w:val="00C33453"/>
    <w:rsid w:val="00C34E99"/>
    <w:rsid w:val="00C35327"/>
    <w:rsid w:val="00C35889"/>
    <w:rsid w:val="00C358ED"/>
    <w:rsid w:val="00C35CB7"/>
    <w:rsid w:val="00C35EC9"/>
    <w:rsid w:val="00C361F1"/>
    <w:rsid w:val="00C37F59"/>
    <w:rsid w:val="00C41277"/>
    <w:rsid w:val="00C41DBE"/>
    <w:rsid w:val="00C42229"/>
    <w:rsid w:val="00C43092"/>
    <w:rsid w:val="00C437FA"/>
    <w:rsid w:val="00C43ECF"/>
    <w:rsid w:val="00C45371"/>
    <w:rsid w:val="00C50442"/>
    <w:rsid w:val="00C50AD0"/>
    <w:rsid w:val="00C50BEB"/>
    <w:rsid w:val="00C53BAD"/>
    <w:rsid w:val="00C5565B"/>
    <w:rsid w:val="00C5650A"/>
    <w:rsid w:val="00C56975"/>
    <w:rsid w:val="00C606DB"/>
    <w:rsid w:val="00C60FF9"/>
    <w:rsid w:val="00C63404"/>
    <w:rsid w:val="00C6355B"/>
    <w:rsid w:val="00C63B78"/>
    <w:rsid w:val="00C63DD7"/>
    <w:rsid w:val="00C6513D"/>
    <w:rsid w:val="00C65454"/>
    <w:rsid w:val="00C65F2D"/>
    <w:rsid w:val="00C671D7"/>
    <w:rsid w:val="00C67A31"/>
    <w:rsid w:val="00C711E8"/>
    <w:rsid w:val="00C71458"/>
    <w:rsid w:val="00C71694"/>
    <w:rsid w:val="00C7192F"/>
    <w:rsid w:val="00C7205D"/>
    <w:rsid w:val="00C73258"/>
    <w:rsid w:val="00C7347B"/>
    <w:rsid w:val="00C74958"/>
    <w:rsid w:val="00C74998"/>
    <w:rsid w:val="00C74D44"/>
    <w:rsid w:val="00C74F2C"/>
    <w:rsid w:val="00C75D0E"/>
    <w:rsid w:val="00C768F9"/>
    <w:rsid w:val="00C76FB7"/>
    <w:rsid w:val="00C77511"/>
    <w:rsid w:val="00C775B8"/>
    <w:rsid w:val="00C778C7"/>
    <w:rsid w:val="00C8097F"/>
    <w:rsid w:val="00C80DE3"/>
    <w:rsid w:val="00C8191B"/>
    <w:rsid w:val="00C81ADC"/>
    <w:rsid w:val="00C81D5F"/>
    <w:rsid w:val="00C827F6"/>
    <w:rsid w:val="00C8299A"/>
    <w:rsid w:val="00C82C67"/>
    <w:rsid w:val="00C83990"/>
    <w:rsid w:val="00C83A63"/>
    <w:rsid w:val="00C84243"/>
    <w:rsid w:val="00C8440C"/>
    <w:rsid w:val="00C848AD"/>
    <w:rsid w:val="00C84D1F"/>
    <w:rsid w:val="00C852DE"/>
    <w:rsid w:val="00C855BA"/>
    <w:rsid w:val="00C856B5"/>
    <w:rsid w:val="00C8640C"/>
    <w:rsid w:val="00C86A89"/>
    <w:rsid w:val="00C86D93"/>
    <w:rsid w:val="00C86EF6"/>
    <w:rsid w:val="00C87D74"/>
    <w:rsid w:val="00C911A1"/>
    <w:rsid w:val="00C9194B"/>
    <w:rsid w:val="00C91A76"/>
    <w:rsid w:val="00C9267E"/>
    <w:rsid w:val="00C92F1F"/>
    <w:rsid w:val="00C94F3F"/>
    <w:rsid w:val="00C96B33"/>
    <w:rsid w:val="00C97257"/>
    <w:rsid w:val="00C97CFE"/>
    <w:rsid w:val="00CA0496"/>
    <w:rsid w:val="00CA083B"/>
    <w:rsid w:val="00CA0898"/>
    <w:rsid w:val="00CA0D52"/>
    <w:rsid w:val="00CA124C"/>
    <w:rsid w:val="00CA1BBE"/>
    <w:rsid w:val="00CA1E53"/>
    <w:rsid w:val="00CA2664"/>
    <w:rsid w:val="00CA2954"/>
    <w:rsid w:val="00CA2FFD"/>
    <w:rsid w:val="00CA3051"/>
    <w:rsid w:val="00CA312C"/>
    <w:rsid w:val="00CA4FC4"/>
    <w:rsid w:val="00CA5233"/>
    <w:rsid w:val="00CA5A29"/>
    <w:rsid w:val="00CA71C7"/>
    <w:rsid w:val="00CA7509"/>
    <w:rsid w:val="00CA75DC"/>
    <w:rsid w:val="00CA7686"/>
    <w:rsid w:val="00CB015E"/>
    <w:rsid w:val="00CB064C"/>
    <w:rsid w:val="00CB08F5"/>
    <w:rsid w:val="00CB0AE8"/>
    <w:rsid w:val="00CB0BD8"/>
    <w:rsid w:val="00CB18CF"/>
    <w:rsid w:val="00CB2C8B"/>
    <w:rsid w:val="00CB3011"/>
    <w:rsid w:val="00CB40B6"/>
    <w:rsid w:val="00CB465C"/>
    <w:rsid w:val="00CB4915"/>
    <w:rsid w:val="00CB4FEA"/>
    <w:rsid w:val="00CB50E4"/>
    <w:rsid w:val="00CB6021"/>
    <w:rsid w:val="00CB7E68"/>
    <w:rsid w:val="00CC1973"/>
    <w:rsid w:val="00CC2774"/>
    <w:rsid w:val="00CC2A38"/>
    <w:rsid w:val="00CC2F8A"/>
    <w:rsid w:val="00CC37C0"/>
    <w:rsid w:val="00CC5112"/>
    <w:rsid w:val="00CC5F3C"/>
    <w:rsid w:val="00CD1949"/>
    <w:rsid w:val="00CD2F3C"/>
    <w:rsid w:val="00CD364D"/>
    <w:rsid w:val="00CD3726"/>
    <w:rsid w:val="00CD405A"/>
    <w:rsid w:val="00CD496F"/>
    <w:rsid w:val="00CD556E"/>
    <w:rsid w:val="00CD5A46"/>
    <w:rsid w:val="00CD77BC"/>
    <w:rsid w:val="00CE01FC"/>
    <w:rsid w:val="00CE030E"/>
    <w:rsid w:val="00CE0570"/>
    <w:rsid w:val="00CE0606"/>
    <w:rsid w:val="00CE06DE"/>
    <w:rsid w:val="00CE0B9C"/>
    <w:rsid w:val="00CE1B62"/>
    <w:rsid w:val="00CE2DFC"/>
    <w:rsid w:val="00CE3595"/>
    <w:rsid w:val="00CE420C"/>
    <w:rsid w:val="00CE4716"/>
    <w:rsid w:val="00CE4936"/>
    <w:rsid w:val="00CE6024"/>
    <w:rsid w:val="00CE60FB"/>
    <w:rsid w:val="00CE68B5"/>
    <w:rsid w:val="00CE7ACA"/>
    <w:rsid w:val="00CE7F2A"/>
    <w:rsid w:val="00CF059A"/>
    <w:rsid w:val="00CF0A92"/>
    <w:rsid w:val="00CF1201"/>
    <w:rsid w:val="00CF15C2"/>
    <w:rsid w:val="00CF1B5E"/>
    <w:rsid w:val="00CF20AE"/>
    <w:rsid w:val="00CF2AD5"/>
    <w:rsid w:val="00CF2AE6"/>
    <w:rsid w:val="00CF4A23"/>
    <w:rsid w:val="00CF52C5"/>
    <w:rsid w:val="00CF56D5"/>
    <w:rsid w:val="00CF5B91"/>
    <w:rsid w:val="00CF6F9D"/>
    <w:rsid w:val="00CF774A"/>
    <w:rsid w:val="00CF7E42"/>
    <w:rsid w:val="00D0023C"/>
    <w:rsid w:val="00D00C4C"/>
    <w:rsid w:val="00D0187A"/>
    <w:rsid w:val="00D030A7"/>
    <w:rsid w:val="00D03312"/>
    <w:rsid w:val="00D03899"/>
    <w:rsid w:val="00D044AC"/>
    <w:rsid w:val="00D04F58"/>
    <w:rsid w:val="00D05C6C"/>
    <w:rsid w:val="00D0668C"/>
    <w:rsid w:val="00D07747"/>
    <w:rsid w:val="00D10FAA"/>
    <w:rsid w:val="00D1603D"/>
    <w:rsid w:val="00D16568"/>
    <w:rsid w:val="00D16B47"/>
    <w:rsid w:val="00D16EA3"/>
    <w:rsid w:val="00D1717C"/>
    <w:rsid w:val="00D1742B"/>
    <w:rsid w:val="00D17C00"/>
    <w:rsid w:val="00D21CF7"/>
    <w:rsid w:val="00D2245C"/>
    <w:rsid w:val="00D22D52"/>
    <w:rsid w:val="00D24214"/>
    <w:rsid w:val="00D2550E"/>
    <w:rsid w:val="00D25C9C"/>
    <w:rsid w:val="00D26D51"/>
    <w:rsid w:val="00D27544"/>
    <w:rsid w:val="00D275B2"/>
    <w:rsid w:val="00D30C5C"/>
    <w:rsid w:val="00D314B0"/>
    <w:rsid w:val="00D3196C"/>
    <w:rsid w:val="00D319EF"/>
    <w:rsid w:val="00D33326"/>
    <w:rsid w:val="00D3333E"/>
    <w:rsid w:val="00D33359"/>
    <w:rsid w:val="00D33606"/>
    <w:rsid w:val="00D3360E"/>
    <w:rsid w:val="00D33880"/>
    <w:rsid w:val="00D33B5D"/>
    <w:rsid w:val="00D345EA"/>
    <w:rsid w:val="00D34714"/>
    <w:rsid w:val="00D35CA1"/>
    <w:rsid w:val="00D362B9"/>
    <w:rsid w:val="00D365E8"/>
    <w:rsid w:val="00D44DE9"/>
    <w:rsid w:val="00D46608"/>
    <w:rsid w:val="00D46B6B"/>
    <w:rsid w:val="00D46DAF"/>
    <w:rsid w:val="00D46F1C"/>
    <w:rsid w:val="00D510D9"/>
    <w:rsid w:val="00D511DE"/>
    <w:rsid w:val="00D518F7"/>
    <w:rsid w:val="00D52101"/>
    <w:rsid w:val="00D5240C"/>
    <w:rsid w:val="00D52EE3"/>
    <w:rsid w:val="00D54AEA"/>
    <w:rsid w:val="00D54DE7"/>
    <w:rsid w:val="00D55CF0"/>
    <w:rsid w:val="00D56891"/>
    <w:rsid w:val="00D56CDF"/>
    <w:rsid w:val="00D57745"/>
    <w:rsid w:val="00D5774A"/>
    <w:rsid w:val="00D60AB5"/>
    <w:rsid w:val="00D60FF2"/>
    <w:rsid w:val="00D611D9"/>
    <w:rsid w:val="00D65DE5"/>
    <w:rsid w:val="00D663D5"/>
    <w:rsid w:val="00D66F03"/>
    <w:rsid w:val="00D67530"/>
    <w:rsid w:val="00D676ED"/>
    <w:rsid w:val="00D704B3"/>
    <w:rsid w:val="00D7104C"/>
    <w:rsid w:val="00D7344A"/>
    <w:rsid w:val="00D737C8"/>
    <w:rsid w:val="00D74763"/>
    <w:rsid w:val="00D749BE"/>
    <w:rsid w:val="00D75761"/>
    <w:rsid w:val="00D76EA8"/>
    <w:rsid w:val="00D770CD"/>
    <w:rsid w:val="00D77C30"/>
    <w:rsid w:val="00D80839"/>
    <w:rsid w:val="00D808BB"/>
    <w:rsid w:val="00D80B44"/>
    <w:rsid w:val="00D81328"/>
    <w:rsid w:val="00D816CD"/>
    <w:rsid w:val="00D81D89"/>
    <w:rsid w:val="00D82F0F"/>
    <w:rsid w:val="00D844A7"/>
    <w:rsid w:val="00D85F93"/>
    <w:rsid w:val="00D862E3"/>
    <w:rsid w:val="00D8792A"/>
    <w:rsid w:val="00D902C8"/>
    <w:rsid w:val="00D9049B"/>
    <w:rsid w:val="00D90A98"/>
    <w:rsid w:val="00D91075"/>
    <w:rsid w:val="00D91514"/>
    <w:rsid w:val="00D917D6"/>
    <w:rsid w:val="00D920E5"/>
    <w:rsid w:val="00D9299E"/>
    <w:rsid w:val="00D93A1C"/>
    <w:rsid w:val="00D93A2C"/>
    <w:rsid w:val="00D93BE5"/>
    <w:rsid w:val="00D9526D"/>
    <w:rsid w:val="00D96BEF"/>
    <w:rsid w:val="00DA0D0D"/>
    <w:rsid w:val="00DA160C"/>
    <w:rsid w:val="00DA25AF"/>
    <w:rsid w:val="00DA3499"/>
    <w:rsid w:val="00DA425B"/>
    <w:rsid w:val="00DA5630"/>
    <w:rsid w:val="00DA6A2B"/>
    <w:rsid w:val="00DA6AC8"/>
    <w:rsid w:val="00DB03BC"/>
    <w:rsid w:val="00DB0C85"/>
    <w:rsid w:val="00DB18B5"/>
    <w:rsid w:val="00DB37D3"/>
    <w:rsid w:val="00DB3AF4"/>
    <w:rsid w:val="00DB3D5E"/>
    <w:rsid w:val="00DB4693"/>
    <w:rsid w:val="00DB4A7A"/>
    <w:rsid w:val="00DB5A08"/>
    <w:rsid w:val="00DB5A6C"/>
    <w:rsid w:val="00DB5D9F"/>
    <w:rsid w:val="00DB6977"/>
    <w:rsid w:val="00DB73AB"/>
    <w:rsid w:val="00DC24B3"/>
    <w:rsid w:val="00DC25A2"/>
    <w:rsid w:val="00DC2FE4"/>
    <w:rsid w:val="00DC458F"/>
    <w:rsid w:val="00DC4D5F"/>
    <w:rsid w:val="00DC5102"/>
    <w:rsid w:val="00DC56C4"/>
    <w:rsid w:val="00DC71D3"/>
    <w:rsid w:val="00DC786B"/>
    <w:rsid w:val="00DC7B19"/>
    <w:rsid w:val="00DC7F9D"/>
    <w:rsid w:val="00DD0352"/>
    <w:rsid w:val="00DD0514"/>
    <w:rsid w:val="00DD09F0"/>
    <w:rsid w:val="00DD2461"/>
    <w:rsid w:val="00DD25E3"/>
    <w:rsid w:val="00DD4C2C"/>
    <w:rsid w:val="00DD6035"/>
    <w:rsid w:val="00DD6079"/>
    <w:rsid w:val="00DD6918"/>
    <w:rsid w:val="00DD6A6A"/>
    <w:rsid w:val="00DD6B0B"/>
    <w:rsid w:val="00DE328B"/>
    <w:rsid w:val="00DE347A"/>
    <w:rsid w:val="00DE3E57"/>
    <w:rsid w:val="00DE5210"/>
    <w:rsid w:val="00DE54FE"/>
    <w:rsid w:val="00DE56D1"/>
    <w:rsid w:val="00DE5ADB"/>
    <w:rsid w:val="00DE657F"/>
    <w:rsid w:val="00DE7E86"/>
    <w:rsid w:val="00DF275D"/>
    <w:rsid w:val="00DF3A75"/>
    <w:rsid w:val="00DF3AFF"/>
    <w:rsid w:val="00DF46A7"/>
    <w:rsid w:val="00DF4C68"/>
    <w:rsid w:val="00DF55EE"/>
    <w:rsid w:val="00DF5998"/>
    <w:rsid w:val="00DF6955"/>
    <w:rsid w:val="00DF6DEF"/>
    <w:rsid w:val="00E00B8F"/>
    <w:rsid w:val="00E01A97"/>
    <w:rsid w:val="00E02EF8"/>
    <w:rsid w:val="00E04627"/>
    <w:rsid w:val="00E071AE"/>
    <w:rsid w:val="00E1083D"/>
    <w:rsid w:val="00E12234"/>
    <w:rsid w:val="00E13252"/>
    <w:rsid w:val="00E138E2"/>
    <w:rsid w:val="00E1418C"/>
    <w:rsid w:val="00E142E0"/>
    <w:rsid w:val="00E14383"/>
    <w:rsid w:val="00E1523E"/>
    <w:rsid w:val="00E153FC"/>
    <w:rsid w:val="00E15AD5"/>
    <w:rsid w:val="00E168D0"/>
    <w:rsid w:val="00E1795D"/>
    <w:rsid w:val="00E2087C"/>
    <w:rsid w:val="00E20A08"/>
    <w:rsid w:val="00E217C3"/>
    <w:rsid w:val="00E21FAD"/>
    <w:rsid w:val="00E2233E"/>
    <w:rsid w:val="00E224F9"/>
    <w:rsid w:val="00E22EB4"/>
    <w:rsid w:val="00E23C39"/>
    <w:rsid w:val="00E26557"/>
    <w:rsid w:val="00E2658E"/>
    <w:rsid w:val="00E268FE"/>
    <w:rsid w:val="00E269F6"/>
    <w:rsid w:val="00E27D24"/>
    <w:rsid w:val="00E27EDE"/>
    <w:rsid w:val="00E313ED"/>
    <w:rsid w:val="00E31E99"/>
    <w:rsid w:val="00E32087"/>
    <w:rsid w:val="00E3337F"/>
    <w:rsid w:val="00E33729"/>
    <w:rsid w:val="00E338ED"/>
    <w:rsid w:val="00E33AE9"/>
    <w:rsid w:val="00E40015"/>
    <w:rsid w:val="00E40C8F"/>
    <w:rsid w:val="00E41CA1"/>
    <w:rsid w:val="00E41FEC"/>
    <w:rsid w:val="00E4232B"/>
    <w:rsid w:val="00E44459"/>
    <w:rsid w:val="00E45C3F"/>
    <w:rsid w:val="00E472AA"/>
    <w:rsid w:val="00E47D65"/>
    <w:rsid w:val="00E50C1F"/>
    <w:rsid w:val="00E50F22"/>
    <w:rsid w:val="00E51726"/>
    <w:rsid w:val="00E52743"/>
    <w:rsid w:val="00E53C30"/>
    <w:rsid w:val="00E546A4"/>
    <w:rsid w:val="00E54AF7"/>
    <w:rsid w:val="00E55753"/>
    <w:rsid w:val="00E5583C"/>
    <w:rsid w:val="00E55A0D"/>
    <w:rsid w:val="00E55EEB"/>
    <w:rsid w:val="00E5608C"/>
    <w:rsid w:val="00E56F5C"/>
    <w:rsid w:val="00E57662"/>
    <w:rsid w:val="00E60931"/>
    <w:rsid w:val="00E61E52"/>
    <w:rsid w:val="00E62122"/>
    <w:rsid w:val="00E6326C"/>
    <w:rsid w:val="00E6397F"/>
    <w:rsid w:val="00E63CFC"/>
    <w:rsid w:val="00E64D58"/>
    <w:rsid w:val="00E6504E"/>
    <w:rsid w:val="00E66233"/>
    <w:rsid w:val="00E665CF"/>
    <w:rsid w:val="00E66E06"/>
    <w:rsid w:val="00E67D46"/>
    <w:rsid w:val="00E67E24"/>
    <w:rsid w:val="00E70016"/>
    <w:rsid w:val="00E70492"/>
    <w:rsid w:val="00E7053B"/>
    <w:rsid w:val="00E711CE"/>
    <w:rsid w:val="00E720ED"/>
    <w:rsid w:val="00E7221C"/>
    <w:rsid w:val="00E72338"/>
    <w:rsid w:val="00E73411"/>
    <w:rsid w:val="00E734BE"/>
    <w:rsid w:val="00E73FE3"/>
    <w:rsid w:val="00E740A5"/>
    <w:rsid w:val="00E76FC0"/>
    <w:rsid w:val="00E77B3C"/>
    <w:rsid w:val="00E77F66"/>
    <w:rsid w:val="00E802E4"/>
    <w:rsid w:val="00E82179"/>
    <w:rsid w:val="00E8248F"/>
    <w:rsid w:val="00E8285C"/>
    <w:rsid w:val="00E82A77"/>
    <w:rsid w:val="00E844DE"/>
    <w:rsid w:val="00E845DA"/>
    <w:rsid w:val="00E85A61"/>
    <w:rsid w:val="00E85F0D"/>
    <w:rsid w:val="00E871E1"/>
    <w:rsid w:val="00E872C8"/>
    <w:rsid w:val="00E87C65"/>
    <w:rsid w:val="00E87D96"/>
    <w:rsid w:val="00E90887"/>
    <w:rsid w:val="00E9136A"/>
    <w:rsid w:val="00E91A15"/>
    <w:rsid w:val="00E92B76"/>
    <w:rsid w:val="00E9323D"/>
    <w:rsid w:val="00E9348C"/>
    <w:rsid w:val="00E9415E"/>
    <w:rsid w:val="00E950A0"/>
    <w:rsid w:val="00E95734"/>
    <w:rsid w:val="00E95AA0"/>
    <w:rsid w:val="00E968E0"/>
    <w:rsid w:val="00E96B41"/>
    <w:rsid w:val="00E97109"/>
    <w:rsid w:val="00E97325"/>
    <w:rsid w:val="00EA00A6"/>
    <w:rsid w:val="00EA0271"/>
    <w:rsid w:val="00EA07D8"/>
    <w:rsid w:val="00EA0DAC"/>
    <w:rsid w:val="00EA0EC6"/>
    <w:rsid w:val="00EA0F39"/>
    <w:rsid w:val="00EA2088"/>
    <w:rsid w:val="00EA2B5C"/>
    <w:rsid w:val="00EA3895"/>
    <w:rsid w:val="00EA3A49"/>
    <w:rsid w:val="00EA4659"/>
    <w:rsid w:val="00EA483A"/>
    <w:rsid w:val="00EA4CD1"/>
    <w:rsid w:val="00EA4FB0"/>
    <w:rsid w:val="00EA6F39"/>
    <w:rsid w:val="00EA785B"/>
    <w:rsid w:val="00EA7BDC"/>
    <w:rsid w:val="00EA7C23"/>
    <w:rsid w:val="00EB0303"/>
    <w:rsid w:val="00EB0625"/>
    <w:rsid w:val="00EB1250"/>
    <w:rsid w:val="00EB200E"/>
    <w:rsid w:val="00EB25B8"/>
    <w:rsid w:val="00EB3819"/>
    <w:rsid w:val="00EB39D5"/>
    <w:rsid w:val="00EB3E26"/>
    <w:rsid w:val="00EB3E5E"/>
    <w:rsid w:val="00EB4643"/>
    <w:rsid w:val="00EB5568"/>
    <w:rsid w:val="00EB5F86"/>
    <w:rsid w:val="00EB6217"/>
    <w:rsid w:val="00EB75F1"/>
    <w:rsid w:val="00EB7634"/>
    <w:rsid w:val="00EB7C60"/>
    <w:rsid w:val="00EB7D13"/>
    <w:rsid w:val="00EC01E1"/>
    <w:rsid w:val="00EC0C77"/>
    <w:rsid w:val="00EC3282"/>
    <w:rsid w:val="00EC3B63"/>
    <w:rsid w:val="00EC3F16"/>
    <w:rsid w:val="00EC559E"/>
    <w:rsid w:val="00EC6E20"/>
    <w:rsid w:val="00EC7DC3"/>
    <w:rsid w:val="00ED0041"/>
    <w:rsid w:val="00ED0762"/>
    <w:rsid w:val="00ED1925"/>
    <w:rsid w:val="00ED192A"/>
    <w:rsid w:val="00ED300D"/>
    <w:rsid w:val="00ED42DF"/>
    <w:rsid w:val="00ED616B"/>
    <w:rsid w:val="00ED6FA7"/>
    <w:rsid w:val="00ED7430"/>
    <w:rsid w:val="00EE162C"/>
    <w:rsid w:val="00EE2149"/>
    <w:rsid w:val="00EE264C"/>
    <w:rsid w:val="00EE3060"/>
    <w:rsid w:val="00EE32B0"/>
    <w:rsid w:val="00EE3425"/>
    <w:rsid w:val="00EE348E"/>
    <w:rsid w:val="00EE38F0"/>
    <w:rsid w:val="00EE3E25"/>
    <w:rsid w:val="00EE4115"/>
    <w:rsid w:val="00EE47D5"/>
    <w:rsid w:val="00EE4971"/>
    <w:rsid w:val="00EE5DB3"/>
    <w:rsid w:val="00EE5FD1"/>
    <w:rsid w:val="00EE675F"/>
    <w:rsid w:val="00EE7E68"/>
    <w:rsid w:val="00EF06E6"/>
    <w:rsid w:val="00EF16BC"/>
    <w:rsid w:val="00EF2680"/>
    <w:rsid w:val="00EF3EC4"/>
    <w:rsid w:val="00EF408B"/>
    <w:rsid w:val="00EF5238"/>
    <w:rsid w:val="00EF7B6A"/>
    <w:rsid w:val="00F004F5"/>
    <w:rsid w:val="00F009BD"/>
    <w:rsid w:val="00F00A2D"/>
    <w:rsid w:val="00F0119B"/>
    <w:rsid w:val="00F0179E"/>
    <w:rsid w:val="00F021FB"/>
    <w:rsid w:val="00F02563"/>
    <w:rsid w:val="00F038BA"/>
    <w:rsid w:val="00F040A6"/>
    <w:rsid w:val="00F04F20"/>
    <w:rsid w:val="00F057BF"/>
    <w:rsid w:val="00F06EEA"/>
    <w:rsid w:val="00F10485"/>
    <w:rsid w:val="00F1140E"/>
    <w:rsid w:val="00F11F44"/>
    <w:rsid w:val="00F131BC"/>
    <w:rsid w:val="00F138F3"/>
    <w:rsid w:val="00F147FA"/>
    <w:rsid w:val="00F16B43"/>
    <w:rsid w:val="00F17136"/>
    <w:rsid w:val="00F17D3C"/>
    <w:rsid w:val="00F17FDA"/>
    <w:rsid w:val="00F213BB"/>
    <w:rsid w:val="00F21B37"/>
    <w:rsid w:val="00F22993"/>
    <w:rsid w:val="00F23501"/>
    <w:rsid w:val="00F23F8E"/>
    <w:rsid w:val="00F271BB"/>
    <w:rsid w:val="00F30344"/>
    <w:rsid w:val="00F31868"/>
    <w:rsid w:val="00F322C3"/>
    <w:rsid w:val="00F336AD"/>
    <w:rsid w:val="00F33EC7"/>
    <w:rsid w:val="00F341A6"/>
    <w:rsid w:val="00F41DB0"/>
    <w:rsid w:val="00F431D1"/>
    <w:rsid w:val="00F434FE"/>
    <w:rsid w:val="00F4398B"/>
    <w:rsid w:val="00F43A2D"/>
    <w:rsid w:val="00F43BFD"/>
    <w:rsid w:val="00F44418"/>
    <w:rsid w:val="00F449D2"/>
    <w:rsid w:val="00F451AB"/>
    <w:rsid w:val="00F45A90"/>
    <w:rsid w:val="00F45D82"/>
    <w:rsid w:val="00F4689D"/>
    <w:rsid w:val="00F52E68"/>
    <w:rsid w:val="00F53121"/>
    <w:rsid w:val="00F53450"/>
    <w:rsid w:val="00F53EF3"/>
    <w:rsid w:val="00F549E0"/>
    <w:rsid w:val="00F55531"/>
    <w:rsid w:val="00F558AE"/>
    <w:rsid w:val="00F57055"/>
    <w:rsid w:val="00F5792D"/>
    <w:rsid w:val="00F6002E"/>
    <w:rsid w:val="00F60478"/>
    <w:rsid w:val="00F60555"/>
    <w:rsid w:val="00F6058F"/>
    <w:rsid w:val="00F610BC"/>
    <w:rsid w:val="00F61D87"/>
    <w:rsid w:val="00F62151"/>
    <w:rsid w:val="00F62A1A"/>
    <w:rsid w:val="00F63371"/>
    <w:rsid w:val="00F63A9F"/>
    <w:rsid w:val="00F64547"/>
    <w:rsid w:val="00F651A4"/>
    <w:rsid w:val="00F65ADE"/>
    <w:rsid w:val="00F66116"/>
    <w:rsid w:val="00F662FA"/>
    <w:rsid w:val="00F670E9"/>
    <w:rsid w:val="00F70A50"/>
    <w:rsid w:val="00F7116D"/>
    <w:rsid w:val="00F72368"/>
    <w:rsid w:val="00F72AD0"/>
    <w:rsid w:val="00F7482D"/>
    <w:rsid w:val="00F7491A"/>
    <w:rsid w:val="00F7566E"/>
    <w:rsid w:val="00F76E01"/>
    <w:rsid w:val="00F7780C"/>
    <w:rsid w:val="00F8024B"/>
    <w:rsid w:val="00F806AB"/>
    <w:rsid w:val="00F80B61"/>
    <w:rsid w:val="00F80ED8"/>
    <w:rsid w:val="00F81A15"/>
    <w:rsid w:val="00F8254B"/>
    <w:rsid w:val="00F826CF"/>
    <w:rsid w:val="00F826EC"/>
    <w:rsid w:val="00F826EE"/>
    <w:rsid w:val="00F830AB"/>
    <w:rsid w:val="00F834A6"/>
    <w:rsid w:val="00F8394E"/>
    <w:rsid w:val="00F839EF"/>
    <w:rsid w:val="00F84C1C"/>
    <w:rsid w:val="00F84EA7"/>
    <w:rsid w:val="00F85C71"/>
    <w:rsid w:val="00F87A6E"/>
    <w:rsid w:val="00F908A0"/>
    <w:rsid w:val="00F91E70"/>
    <w:rsid w:val="00F92ACB"/>
    <w:rsid w:val="00F92EC7"/>
    <w:rsid w:val="00F938FB"/>
    <w:rsid w:val="00F9439C"/>
    <w:rsid w:val="00F95204"/>
    <w:rsid w:val="00F961C7"/>
    <w:rsid w:val="00F96C46"/>
    <w:rsid w:val="00F9725B"/>
    <w:rsid w:val="00F9742D"/>
    <w:rsid w:val="00F97838"/>
    <w:rsid w:val="00F97E09"/>
    <w:rsid w:val="00FA031D"/>
    <w:rsid w:val="00FA1D33"/>
    <w:rsid w:val="00FA1EE1"/>
    <w:rsid w:val="00FA202A"/>
    <w:rsid w:val="00FA3A26"/>
    <w:rsid w:val="00FA44C6"/>
    <w:rsid w:val="00FA47DC"/>
    <w:rsid w:val="00FA4BC7"/>
    <w:rsid w:val="00FA4F0A"/>
    <w:rsid w:val="00FA5083"/>
    <w:rsid w:val="00FA5104"/>
    <w:rsid w:val="00FA52CC"/>
    <w:rsid w:val="00FA59FA"/>
    <w:rsid w:val="00FA6388"/>
    <w:rsid w:val="00FA690A"/>
    <w:rsid w:val="00FA6A03"/>
    <w:rsid w:val="00FA7522"/>
    <w:rsid w:val="00FB0BD2"/>
    <w:rsid w:val="00FB1F4D"/>
    <w:rsid w:val="00FB3575"/>
    <w:rsid w:val="00FB4834"/>
    <w:rsid w:val="00FB6B7E"/>
    <w:rsid w:val="00FB7675"/>
    <w:rsid w:val="00FC01A3"/>
    <w:rsid w:val="00FC0F3F"/>
    <w:rsid w:val="00FC1350"/>
    <w:rsid w:val="00FC1666"/>
    <w:rsid w:val="00FC20FA"/>
    <w:rsid w:val="00FC52A2"/>
    <w:rsid w:val="00FC570A"/>
    <w:rsid w:val="00FC5F3A"/>
    <w:rsid w:val="00FC7785"/>
    <w:rsid w:val="00FD0BDA"/>
    <w:rsid w:val="00FD13D3"/>
    <w:rsid w:val="00FD14C4"/>
    <w:rsid w:val="00FD1ADF"/>
    <w:rsid w:val="00FD2079"/>
    <w:rsid w:val="00FD364A"/>
    <w:rsid w:val="00FD3EEA"/>
    <w:rsid w:val="00FD4831"/>
    <w:rsid w:val="00FD4D86"/>
    <w:rsid w:val="00FD61A2"/>
    <w:rsid w:val="00FD6B5D"/>
    <w:rsid w:val="00FD7473"/>
    <w:rsid w:val="00FD7CF7"/>
    <w:rsid w:val="00FE021E"/>
    <w:rsid w:val="00FE0316"/>
    <w:rsid w:val="00FE0E8A"/>
    <w:rsid w:val="00FE2CEC"/>
    <w:rsid w:val="00FE2DF5"/>
    <w:rsid w:val="00FE3879"/>
    <w:rsid w:val="00FE3B8F"/>
    <w:rsid w:val="00FE3C05"/>
    <w:rsid w:val="00FE4010"/>
    <w:rsid w:val="00FE502F"/>
    <w:rsid w:val="00FE6DDD"/>
    <w:rsid w:val="00FE73AB"/>
    <w:rsid w:val="00FE7C53"/>
    <w:rsid w:val="00FF000A"/>
    <w:rsid w:val="00FF056A"/>
    <w:rsid w:val="00FF2475"/>
    <w:rsid w:val="00FF2D7F"/>
    <w:rsid w:val="00FF3101"/>
    <w:rsid w:val="00FF4B87"/>
    <w:rsid w:val="00FF5256"/>
    <w:rsid w:val="00FF5AD7"/>
    <w:rsid w:val="00FF702B"/>
    <w:rsid w:val="00FF7194"/>
    <w:rsid w:val="00FF7458"/>
    <w:rsid w:val="00FF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5C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val="en-GB" w:eastAsia="ja-JP"/>
    </w:rPr>
  </w:style>
  <w:style w:type="paragraph" w:styleId="Heading1">
    <w:name w:val="heading 1"/>
    <w:basedOn w:val="Normal"/>
    <w:next w:val="Normal"/>
    <w:link w:val="Heading1Char"/>
    <w:qFormat/>
    <w:rsid w:val="005E30AA"/>
    <w:pPr>
      <w:keepNext/>
      <w:numPr>
        <w:numId w:val="14"/>
      </w:numPr>
      <w:spacing w:before="240" w:after="60"/>
      <w:outlineLvl w:val="0"/>
    </w:pPr>
    <w:rPr>
      <w:b/>
      <w:bCs/>
      <w:kern w:val="32"/>
      <w:sz w:val="32"/>
      <w:szCs w:val="32"/>
    </w:rPr>
  </w:style>
  <w:style w:type="paragraph" w:styleId="Heading2">
    <w:name w:val="heading 2"/>
    <w:basedOn w:val="Normal"/>
    <w:next w:val="Normal"/>
    <w:link w:val="Heading2Char"/>
    <w:qFormat/>
    <w:rsid w:val="00064D9D"/>
    <w:pPr>
      <w:keepNext/>
      <w:numPr>
        <w:ilvl w:val="1"/>
        <w:numId w:val="14"/>
      </w:numPr>
      <w:spacing w:before="240" w:after="60"/>
      <w:outlineLvl w:val="1"/>
    </w:pPr>
    <w:rPr>
      <w:bCs/>
      <w:iCs/>
    </w:rPr>
  </w:style>
  <w:style w:type="paragraph" w:styleId="Heading3">
    <w:name w:val="heading 3"/>
    <w:basedOn w:val="Normal"/>
    <w:next w:val="Normal"/>
    <w:link w:val="Heading3Char"/>
    <w:qFormat/>
    <w:rsid w:val="00064D9D"/>
    <w:pPr>
      <w:keepNext/>
      <w:numPr>
        <w:ilvl w:val="2"/>
        <w:numId w:val="14"/>
      </w:numPr>
      <w:tabs>
        <w:tab w:val="left" w:pos="990"/>
        <w:tab w:val="left" w:pos="1800"/>
      </w:tabs>
      <w:spacing w:before="240" w:after="60"/>
      <w:outlineLvl w:val="2"/>
    </w:pPr>
    <w:rPr>
      <w:bCs/>
    </w:rPr>
  </w:style>
  <w:style w:type="paragraph" w:styleId="Heading4">
    <w:name w:val="heading 4"/>
    <w:basedOn w:val="Normal"/>
    <w:next w:val="Normal"/>
    <w:link w:val="Heading4Char"/>
    <w:qFormat/>
    <w:rsid w:val="00CC2A38"/>
    <w:pPr>
      <w:keepNext/>
      <w:numPr>
        <w:ilvl w:val="3"/>
        <w:numId w:val="14"/>
      </w:numPr>
      <w:spacing w:before="240" w:after="60"/>
      <w:outlineLvl w:val="3"/>
    </w:pPr>
    <w:rPr>
      <w:bCs/>
    </w:rPr>
  </w:style>
  <w:style w:type="paragraph" w:styleId="Heading5">
    <w:name w:val="heading 5"/>
    <w:basedOn w:val="Normal"/>
    <w:next w:val="Normal"/>
    <w:qFormat/>
    <w:rsid w:val="00D85F93"/>
    <w:pPr>
      <w:numPr>
        <w:ilvl w:val="4"/>
        <w:numId w:val="14"/>
      </w:numPr>
      <w:spacing w:before="240" w:after="60"/>
      <w:outlineLvl w:val="4"/>
    </w:pPr>
    <w:rPr>
      <w:b/>
      <w:bCs/>
      <w:i/>
      <w:iCs/>
      <w:sz w:val="26"/>
      <w:szCs w:val="26"/>
    </w:rPr>
  </w:style>
  <w:style w:type="paragraph" w:styleId="Heading6">
    <w:name w:val="heading 6"/>
    <w:basedOn w:val="Normal"/>
    <w:next w:val="Normal"/>
    <w:qFormat/>
    <w:rsid w:val="00D85F93"/>
    <w:pPr>
      <w:numPr>
        <w:ilvl w:val="5"/>
        <w:numId w:val="14"/>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D85F93"/>
    <w:pPr>
      <w:numPr>
        <w:ilvl w:val="6"/>
        <w:numId w:val="14"/>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D85F93"/>
    <w:pPr>
      <w:numPr>
        <w:ilvl w:val="7"/>
        <w:numId w:val="14"/>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D85F93"/>
    <w:pPr>
      <w:numPr>
        <w:ilvl w:val="8"/>
        <w:numId w:val="14"/>
      </w:num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642B9"/>
    <w:rPr>
      <w:sz w:val="16"/>
      <w:szCs w:val="16"/>
    </w:rPr>
  </w:style>
  <w:style w:type="paragraph" w:styleId="CommentText">
    <w:name w:val="annotation text"/>
    <w:basedOn w:val="Normal"/>
    <w:link w:val="CommentTextChar"/>
    <w:uiPriority w:val="99"/>
    <w:rsid w:val="009642B9"/>
  </w:style>
  <w:style w:type="paragraph" w:styleId="CommentSubject">
    <w:name w:val="annotation subject"/>
    <w:basedOn w:val="CommentText"/>
    <w:next w:val="CommentText"/>
    <w:semiHidden/>
    <w:rsid w:val="009642B9"/>
    <w:rPr>
      <w:b/>
      <w:bCs/>
    </w:rPr>
  </w:style>
  <w:style w:type="paragraph" w:styleId="BalloonText">
    <w:name w:val="Balloon Text"/>
    <w:basedOn w:val="Normal"/>
    <w:semiHidden/>
    <w:rsid w:val="009642B9"/>
    <w:rPr>
      <w:rFonts w:ascii="Tahoma" w:hAnsi="Tahoma" w:cs="Tahoma"/>
      <w:sz w:val="16"/>
      <w:szCs w:val="16"/>
    </w:rPr>
  </w:style>
  <w:style w:type="table" w:styleId="TableGrid">
    <w:name w:val="Table Grid"/>
    <w:basedOn w:val="TableNormal"/>
    <w:uiPriority w:val="59"/>
    <w:rsid w:val="00D85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97FB1"/>
    <w:rPr>
      <w:color w:val="0000FF"/>
      <w:u w:val="single"/>
    </w:rPr>
  </w:style>
  <w:style w:type="paragraph" w:styleId="TOC1">
    <w:name w:val="toc 1"/>
    <w:basedOn w:val="Normal"/>
    <w:next w:val="Normal"/>
    <w:autoRedefine/>
    <w:uiPriority w:val="39"/>
    <w:qFormat/>
    <w:rsid w:val="002D4A70"/>
    <w:pPr>
      <w:tabs>
        <w:tab w:val="left" w:pos="540"/>
        <w:tab w:val="right" w:leader="dot" w:pos="8296"/>
      </w:tabs>
    </w:pPr>
    <w:rPr>
      <w:noProof/>
    </w:rPr>
  </w:style>
  <w:style w:type="paragraph" w:styleId="FootnoteText">
    <w:name w:val="footnote text"/>
    <w:basedOn w:val="Normal"/>
    <w:semiHidden/>
    <w:rsid w:val="00BE34E5"/>
  </w:style>
  <w:style w:type="character" w:styleId="FootnoteReference">
    <w:name w:val="footnote reference"/>
    <w:basedOn w:val="DefaultParagraphFont"/>
    <w:semiHidden/>
    <w:rsid w:val="00BE34E5"/>
    <w:rPr>
      <w:vertAlign w:val="superscript"/>
    </w:rPr>
  </w:style>
  <w:style w:type="paragraph" w:styleId="NormalIndent">
    <w:name w:val="Normal Indent"/>
    <w:basedOn w:val="Normal"/>
    <w:rsid w:val="00597322"/>
    <w:pPr>
      <w:ind w:left="2664"/>
    </w:pPr>
    <w:rPr>
      <w:rFonts w:ascii="Helvetica" w:eastAsia="Times New Roman" w:hAnsi="Helvetica" w:cs="Times New Roman"/>
    </w:rPr>
  </w:style>
  <w:style w:type="paragraph" w:styleId="Footer">
    <w:name w:val="footer"/>
    <w:basedOn w:val="Normal"/>
    <w:link w:val="FooterChar"/>
    <w:uiPriority w:val="99"/>
    <w:rsid w:val="00107C5F"/>
    <w:pPr>
      <w:tabs>
        <w:tab w:val="center" w:pos="4536"/>
        <w:tab w:val="right" w:pos="9072"/>
      </w:tabs>
    </w:pPr>
  </w:style>
  <w:style w:type="character" w:styleId="PageNumber">
    <w:name w:val="page number"/>
    <w:basedOn w:val="DefaultParagraphFont"/>
    <w:rsid w:val="00107C5F"/>
  </w:style>
  <w:style w:type="paragraph" w:styleId="Caption">
    <w:name w:val="caption"/>
    <w:basedOn w:val="Normal"/>
    <w:next w:val="Normal"/>
    <w:qFormat/>
    <w:rsid w:val="007D4F1A"/>
    <w:rPr>
      <w:b/>
      <w:bCs/>
    </w:rPr>
  </w:style>
  <w:style w:type="paragraph" w:styleId="NormalWeb">
    <w:name w:val="Normal (Web)"/>
    <w:basedOn w:val="Normal"/>
    <w:uiPriority w:val="99"/>
    <w:rsid w:val="0099539F"/>
    <w:pPr>
      <w:spacing w:before="100" w:beforeAutospacing="1" w:after="100" w:afterAutospacing="1"/>
    </w:pPr>
    <w:rPr>
      <w:rFonts w:ascii="Times New Roman" w:hAnsi="Times New Roman" w:cs="Times New Roman"/>
      <w:sz w:val="24"/>
      <w:szCs w:val="24"/>
    </w:rPr>
  </w:style>
  <w:style w:type="character" w:customStyle="1" w:styleId="futurabook">
    <w:name w:val="futurabook"/>
    <w:basedOn w:val="DefaultParagraphFont"/>
    <w:rsid w:val="0099539F"/>
  </w:style>
  <w:style w:type="character" w:customStyle="1" w:styleId="Heading3Char">
    <w:name w:val="Heading 3 Char"/>
    <w:basedOn w:val="DefaultParagraphFont"/>
    <w:link w:val="Heading3"/>
    <w:rsid w:val="00064D9D"/>
    <w:rPr>
      <w:rFonts w:ascii="Arial" w:hAnsi="Arial" w:cs="Arial"/>
      <w:bCs/>
      <w:lang w:val="en-GB" w:eastAsia="ja-JP"/>
    </w:rPr>
  </w:style>
  <w:style w:type="paragraph" w:styleId="TOC2">
    <w:name w:val="toc 2"/>
    <w:basedOn w:val="Normal"/>
    <w:next w:val="Normal"/>
    <w:autoRedefine/>
    <w:uiPriority w:val="39"/>
    <w:qFormat/>
    <w:rsid w:val="00E51726"/>
    <w:pPr>
      <w:ind w:left="200"/>
    </w:pPr>
  </w:style>
  <w:style w:type="paragraph" w:styleId="TOC3">
    <w:name w:val="toc 3"/>
    <w:basedOn w:val="Normal"/>
    <w:next w:val="Normal"/>
    <w:autoRedefine/>
    <w:uiPriority w:val="39"/>
    <w:qFormat/>
    <w:rsid w:val="00E51726"/>
    <w:pPr>
      <w:ind w:left="400"/>
    </w:pPr>
  </w:style>
  <w:style w:type="paragraph" w:styleId="Header">
    <w:name w:val="header"/>
    <w:basedOn w:val="Normal"/>
    <w:rsid w:val="00A21195"/>
    <w:pPr>
      <w:tabs>
        <w:tab w:val="center" w:pos="4153"/>
        <w:tab w:val="right" w:pos="8306"/>
      </w:tabs>
    </w:pPr>
  </w:style>
  <w:style w:type="paragraph" w:customStyle="1" w:styleId="Default">
    <w:name w:val="Default"/>
    <w:rsid w:val="0053552A"/>
    <w:pPr>
      <w:autoSpaceDE w:val="0"/>
      <w:autoSpaceDN w:val="0"/>
      <w:adjustRightInd w:val="0"/>
    </w:pPr>
    <w:rPr>
      <w:rFonts w:ascii="Arial" w:hAnsi="Arial" w:cs="Arial"/>
      <w:color w:val="000000"/>
      <w:sz w:val="24"/>
      <w:szCs w:val="24"/>
      <w:lang w:val="en-GB" w:eastAsia="ja-JP"/>
    </w:rPr>
  </w:style>
  <w:style w:type="character" w:customStyle="1" w:styleId="Heading1Char">
    <w:name w:val="Heading 1 Char"/>
    <w:basedOn w:val="DefaultParagraphFont"/>
    <w:link w:val="Heading1"/>
    <w:rsid w:val="005E30AA"/>
    <w:rPr>
      <w:rFonts w:ascii="Arial" w:hAnsi="Arial" w:cs="Arial"/>
      <w:b/>
      <w:bCs/>
      <w:kern w:val="32"/>
      <w:sz w:val="32"/>
      <w:szCs w:val="32"/>
      <w:lang w:val="en-GB" w:eastAsia="ja-JP"/>
    </w:rPr>
  </w:style>
  <w:style w:type="character" w:customStyle="1" w:styleId="CharChar1">
    <w:name w:val="Char Char1"/>
    <w:basedOn w:val="DefaultParagraphFont"/>
    <w:rsid w:val="00265A2E"/>
    <w:rPr>
      <w:rFonts w:ascii="Arial" w:eastAsia="MS Mincho" w:hAnsi="Arial" w:cs="Arial"/>
      <w:b/>
      <w:bCs/>
      <w:kern w:val="32"/>
      <w:sz w:val="32"/>
      <w:szCs w:val="32"/>
      <w:lang w:val="en-GB" w:eastAsia="ja-JP" w:bidi="ar-SA"/>
    </w:rPr>
  </w:style>
  <w:style w:type="character" w:customStyle="1" w:styleId="Heading4Char">
    <w:name w:val="Heading 4 Char"/>
    <w:basedOn w:val="DefaultParagraphFont"/>
    <w:link w:val="Heading4"/>
    <w:rsid w:val="00CC2A38"/>
    <w:rPr>
      <w:rFonts w:ascii="Arial" w:hAnsi="Arial" w:cs="Arial"/>
      <w:bCs/>
      <w:lang w:val="en-GB" w:eastAsia="ja-JP"/>
    </w:rPr>
  </w:style>
  <w:style w:type="paragraph" w:styleId="EndnoteText">
    <w:name w:val="endnote text"/>
    <w:basedOn w:val="Normal"/>
    <w:link w:val="EndnoteTextChar"/>
    <w:rsid w:val="00EB1250"/>
  </w:style>
  <w:style w:type="character" w:customStyle="1" w:styleId="EndnoteTextChar">
    <w:name w:val="Endnote Text Char"/>
    <w:basedOn w:val="DefaultParagraphFont"/>
    <w:link w:val="EndnoteText"/>
    <w:rsid w:val="00EB1250"/>
    <w:rPr>
      <w:rFonts w:ascii="Arial" w:hAnsi="Arial" w:cs="Arial"/>
      <w:lang w:eastAsia="ja-JP"/>
    </w:rPr>
  </w:style>
  <w:style w:type="character" w:styleId="EndnoteReference">
    <w:name w:val="endnote reference"/>
    <w:basedOn w:val="DefaultParagraphFont"/>
    <w:rsid w:val="00EB1250"/>
    <w:rPr>
      <w:vertAlign w:val="superscript"/>
    </w:rPr>
  </w:style>
  <w:style w:type="paragraph" w:styleId="Revision">
    <w:name w:val="Revision"/>
    <w:hidden/>
    <w:uiPriority w:val="99"/>
    <w:semiHidden/>
    <w:rsid w:val="00F53450"/>
    <w:rPr>
      <w:rFonts w:ascii="Arial" w:hAnsi="Arial" w:cs="Arial"/>
      <w:lang w:eastAsia="ja-JP"/>
    </w:rPr>
  </w:style>
  <w:style w:type="paragraph" w:styleId="ListParagraph">
    <w:name w:val="List Paragraph"/>
    <w:basedOn w:val="Normal"/>
    <w:uiPriority w:val="34"/>
    <w:qFormat/>
    <w:rsid w:val="009B3D1D"/>
    <w:pPr>
      <w:ind w:left="720"/>
      <w:contextualSpacing/>
    </w:pPr>
    <w:rPr>
      <w:rFonts w:ascii="Cambria" w:hAnsi="Cambria" w:cs="Times New Roman"/>
      <w:sz w:val="24"/>
      <w:szCs w:val="24"/>
      <w:lang w:eastAsia="en-US"/>
    </w:rPr>
  </w:style>
  <w:style w:type="paragraph" w:customStyle="1" w:styleId="bodytext">
    <w:name w:val="bodytext"/>
    <w:basedOn w:val="Normal"/>
    <w:rsid w:val="000171C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basedOn w:val="DefaultParagraphFont"/>
    <w:link w:val="CommentText"/>
    <w:uiPriority w:val="99"/>
    <w:rsid w:val="006D3E78"/>
    <w:rPr>
      <w:rFonts w:ascii="Arial" w:hAnsi="Arial" w:cs="Arial"/>
      <w:lang w:eastAsia="ja-JP"/>
    </w:rPr>
  </w:style>
  <w:style w:type="character" w:customStyle="1" w:styleId="Heading2Char">
    <w:name w:val="Heading 2 Char"/>
    <w:basedOn w:val="DefaultParagraphFont"/>
    <w:link w:val="Heading2"/>
    <w:rsid w:val="00097A88"/>
    <w:rPr>
      <w:rFonts w:ascii="Arial" w:hAnsi="Arial" w:cs="Arial"/>
      <w:bCs/>
      <w:iCs/>
      <w:lang w:val="en-GB" w:eastAsia="ja-JP"/>
    </w:rPr>
  </w:style>
  <w:style w:type="character" w:styleId="Emphasis">
    <w:name w:val="Emphasis"/>
    <w:basedOn w:val="DefaultParagraphFont"/>
    <w:qFormat/>
    <w:rsid w:val="00514EAD"/>
    <w:rPr>
      <w:i/>
      <w:iCs/>
    </w:rPr>
  </w:style>
  <w:style w:type="character" w:customStyle="1" w:styleId="apple-converted-space">
    <w:name w:val="apple-converted-space"/>
    <w:basedOn w:val="DefaultParagraphFont"/>
    <w:rsid w:val="00606383"/>
  </w:style>
  <w:style w:type="paragraph" w:styleId="TOCHeading">
    <w:name w:val="TOC Heading"/>
    <w:basedOn w:val="Heading1"/>
    <w:next w:val="Normal"/>
    <w:uiPriority w:val="39"/>
    <w:unhideWhenUsed/>
    <w:qFormat/>
    <w:rsid w:val="00C81D5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4">
    <w:name w:val="toc 4"/>
    <w:basedOn w:val="Normal"/>
    <w:next w:val="Normal"/>
    <w:autoRedefine/>
    <w:uiPriority w:val="39"/>
    <w:unhideWhenUsed/>
    <w:rsid w:val="00C81D5F"/>
    <w:pPr>
      <w:spacing w:after="100" w:line="276"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C81D5F"/>
    <w:pPr>
      <w:spacing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C81D5F"/>
    <w:pPr>
      <w:spacing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C81D5F"/>
    <w:pPr>
      <w:spacing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C81D5F"/>
    <w:pPr>
      <w:spacing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C81D5F"/>
    <w:pPr>
      <w:spacing w:after="100" w:line="276" w:lineRule="auto"/>
      <w:ind w:left="1760"/>
    </w:pPr>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rsid w:val="0063791E"/>
    <w:rPr>
      <w:color w:val="800080" w:themeColor="followedHyperlink"/>
      <w:u w:val="single"/>
    </w:rPr>
  </w:style>
  <w:style w:type="character" w:customStyle="1" w:styleId="FooterChar">
    <w:name w:val="Footer Char"/>
    <w:basedOn w:val="DefaultParagraphFont"/>
    <w:link w:val="Footer"/>
    <w:uiPriority w:val="99"/>
    <w:rsid w:val="00815CD6"/>
    <w:rPr>
      <w:rFonts w:ascii="Arial" w:hAnsi="Arial" w:cs="Arial"/>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lang w:val="en-GB" w:eastAsia="ja-JP"/>
    </w:rPr>
  </w:style>
  <w:style w:type="paragraph" w:styleId="Heading1">
    <w:name w:val="heading 1"/>
    <w:basedOn w:val="Normal"/>
    <w:next w:val="Normal"/>
    <w:link w:val="Heading1Char"/>
    <w:qFormat/>
    <w:rsid w:val="005E30AA"/>
    <w:pPr>
      <w:keepNext/>
      <w:numPr>
        <w:numId w:val="14"/>
      </w:numPr>
      <w:spacing w:before="240" w:after="60"/>
      <w:outlineLvl w:val="0"/>
    </w:pPr>
    <w:rPr>
      <w:b/>
      <w:bCs/>
      <w:kern w:val="32"/>
      <w:sz w:val="32"/>
      <w:szCs w:val="32"/>
    </w:rPr>
  </w:style>
  <w:style w:type="paragraph" w:styleId="Heading2">
    <w:name w:val="heading 2"/>
    <w:basedOn w:val="Normal"/>
    <w:next w:val="Normal"/>
    <w:link w:val="Heading2Char"/>
    <w:qFormat/>
    <w:rsid w:val="00064D9D"/>
    <w:pPr>
      <w:keepNext/>
      <w:numPr>
        <w:ilvl w:val="1"/>
        <w:numId w:val="14"/>
      </w:numPr>
      <w:spacing w:before="240" w:after="60"/>
      <w:outlineLvl w:val="1"/>
    </w:pPr>
    <w:rPr>
      <w:bCs/>
      <w:iCs/>
    </w:rPr>
  </w:style>
  <w:style w:type="paragraph" w:styleId="Heading3">
    <w:name w:val="heading 3"/>
    <w:basedOn w:val="Normal"/>
    <w:next w:val="Normal"/>
    <w:link w:val="Heading3Char"/>
    <w:qFormat/>
    <w:rsid w:val="00064D9D"/>
    <w:pPr>
      <w:keepNext/>
      <w:numPr>
        <w:ilvl w:val="2"/>
        <w:numId w:val="14"/>
      </w:numPr>
      <w:tabs>
        <w:tab w:val="left" w:pos="990"/>
        <w:tab w:val="left" w:pos="1800"/>
      </w:tabs>
      <w:spacing w:before="240" w:after="60"/>
      <w:outlineLvl w:val="2"/>
    </w:pPr>
    <w:rPr>
      <w:bCs/>
    </w:rPr>
  </w:style>
  <w:style w:type="paragraph" w:styleId="Heading4">
    <w:name w:val="heading 4"/>
    <w:basedOn w:val="Normal"/>
    <w:next w:val="Normal"/>
    <w:link w:val="Heading4Char"/>
    <w:qFormat/>
    <w:rsid w:val="00CC2A38"/>
    <w:pPr>
      <w:keepNext/>
      <w:numPr>
        <w:ilvl w:val="3"/>
        <w:numId w:val="14"/>
      </w:numPr>
      <w:spacing w:before="240" w:after="60"/>
      <w:outlineLvl w:val="3"/>
    </w:pPr>
    <w:rPr>
      <w:bCs/>
    </w:rPr>
  </w:style>
  <w:style w:type="paragraph" w:styleId="Heading5">
    <w:name w:val="heading 5"/>
    <w:basedOn w:val="Normal"/>
    <w:next w:val="Normal"/>
    <w:qFormat/>
    <w:rsid w:val="00D85F93"/>
    <w:pPr>
      <w:numPr>
        <w:ilvl w:val="4"/>
        <w:numId w:val="14"/>
      </w:numPr>
      <w:spacing w:before="240" w:after="60"/>
      <w:outlineLvl w:val="4"/>
    </w:pPr>
    <w:rPr>
      <w:b/>
      <w:bCs/>
      <w:i/>
      <w:iCs/>
      <w:sz w:val="26"/>
      <w:szCs w:val="26"/>
    </w:rPr>
  </w:style>
  <w:style w:type="paragraph" w:styleId="Heading6">
    <w:name w:val="heading 6"/>
    <w:basedOn w:val="Normal"/>
    <w:next w:val="Normal"/>
    <w:qFormat/>
    <w:rsid w:val="00D85F93"/>
    <w:pPr>
      <w:numPr>
        <w:ilvl w:val="5"/>
        <w:numId w:val="14"/>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D85F93"/>
    <w:pPr>
      <w:numPr>
        <w:ilvl w:val="6"/>
        <w:numId w:val="14"/>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D85F93"/>
    <w:pPr>
      <w:numPr>
        <w:ilvl w:val="7"/>
        <w:numId w:val="14"/>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D85F93"/>
    <w:pPr>
      <w:numPr>
        <w:ilvl w:val="8"/>
        <w:numId w:val="14"/>
      </w:numPr>
      <w:spacing w:before="240" w:after="60"/>
      <w:outlineLvl w:val="8"/>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9642B9"/>
    <w:rPr>
      <w:sz w:val="16"/>
      <w:szCs w:val="16"/>
    </w:rPr>
  </w:style>
  <w:style w:type="paragraph" w:styleId="CommentText">
    <w:name w:val="annotation text"/>
    <w:basedOn w:val="Normal"/>
    <w:link w:val="CommentTextChar"/>
    <w:uiPriority w:val="99"/>
    <w:rsid w:val="009642B9"/>
  </w:style>
  <w:style w:type="paragraph" w:styleId="CommentSubject">
    <w:name w:val="annotation subject"/>
    <w:basedOn w:val="CommentText"/>
    <w:next w:val="CommentText"/>
    <w:semiHidden/>
    <w:rsid w:val="009642B9"/>
    <w:rPr>
      <w:b/>
      <w:bCs/>
    </w:rPr>
  </w:style>
  <w:style w:type="paragraph" w:styleId="BalloonText">
    <w:name w:val="Balloon Text"/>
    <w:basedOn w:val="Normal"/>
    <w:semiHidden/>
    <w:rsid w:val="009642B9"/>
    <w:rPr>
      <w:rFonts w:ascii="Tahoma" w:hAnsi="Tahoma" w:cs="Tahoma"/>
      <w:sz w:val="16"/>
      <w:szCs w:val="16"/>
    </w:rPr>
  </w:style>
  <w:style w:type="table" w:styleId="TableGrid">
    <w:name w:val="Table Grid"/>
    <w:basedOn w:val="TableNormal"/>
    <w:uiPriority w:val="59"/>
    <w:rsid w:val="00D85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97FB1"/>
    <w:rPr>
      <w:color w:val="0000FF"/>
      <w:u w:val="single"/>
    </w:rPr>
  </w:style>
  <w:style w:type="paragraph" w:styleId="TOC1">
    <w:name w:val="toc 1"/>
    <w:basedOn w:val="Normal"/>
    <w:next w:val="Normal"/>
    <w:autoRedefine/>
    <w:uiPriority w:val="39"/>
    <w:qFormat/>
    <w:rsid w:val="002D4A70"/>
    <w:pPr>
      <w:tabs>
        <w:tab w:val="left" w:pos="540"/>
        <w:tab w:val="right" w:leader="dot" w:pos="8296"/>
      </w:tabs>
    </w:pPr>
    <w:rPr>
      <w:noProof/>
    </w:rPr>
  </w:style>
  <w:style w:type="paragraph" w:styleId="FootnoteText">
    <w:name w:val="footnote text"/>
    <w:basedOn w:val="Normal"/>
    <w:semiHidden/>
    <w:rsid w:val="00BE34E5"/>
  </w:style>
  <w:style w:type="character" w:styleId="FootnoteReference">
    <w:name w:val="footnote reference"/>
    <w:basedOn w:val="DefaultParagraphFont"/>
    <w:semiHidden/>
    <w:rsid w:val="00BE34E5"/>
    <w:rPr>
      <w:vertAlign w:val="superscript"/>
    </w:rPr>
  </w:style>
  <w:style w:type="paragraph" w:styleId="NormalIndent">
    <w:name w:val="Normal Indent"/>
    <w:basedOn w:val="Normal"/>
    <w:rsid w:val="00597322"/>
    <w:pPr>
      <w:ind w:left="2664"/>
    </w:pPr>
    <w:rPr>
      <w:rFonts w:ascii="Helvetica" w:eastAsia="Times New Roman" w:hAnsi="Helvetica" w:cs="Times New Roman"/>
    </w:rPr>
  </w:style>
  <w:style w:type="paragraph" w:styleId="Footer">
    <w:name w:val="footer"/>
    <w:basedOn w:val="Normal"/>
    <w:link w:val="FooterChar"/>
    <w:uiPriority w:val="99"/>
    <w:rsid w:val="00107C5F"/>
    <w:pPr>
      <w:tabs>
        <w:tab w:val="center" w:pos="4536"/>
        <w:tab w:val="right" w:pos="9072"/>
      </w:tabs>
    </w:pPr>
  </w:style>
  <w:style w:type="character" w:styleId="PageNumber">
    <w:name w:val="page number"/>
    <w:basedOn w:val="DefaultParagraphFont"/>
    <w:rsid w:val="00107C5F"/>
  </w:style>
  <w:style w:type="paragraph" w:styleId="Caption">
    <w:name w:val="caption"/>
    <w:basedOn w:val="Normal"/>
    <w:next w:val="Normal"/>
    <w:qFormat/>
    <w:rsid w:val="007D4F1A"/>
    <w:rPr>
      <w:b/>
      <w:bCs/>
    </w:rPr>
  </w:style>
  <w:style w:type="paragraph" w:styleId="NormalWeb">
    <w:name w:val="Normal (Web)"/>
    <w:basedOn w:val="Normal"/>
    <w:uiPriority w:val="99"/>
    <w:rsid w:val="0099539F"/>
    <w:pPr>
      <w:spacing w:before="100" w:beforeAutospacing="1" w:after="100" w:afterAutospacing="1"/>
    </w:pPr>
    <w:rPr>
      <w:rFonts w:ascii="Times New Roman" w:hAnsi="Times New Roman" w:cs="Times New Roman"/>
      <w:sz w:val="24"/>
      <w:szCs w:val="24"/>
    </w:rPr>
  </w:style>
  <w:style w:type="character" w:customStyle="1" w:styleId="futurabook">
    <w:name w:val="futurabook"/>
    <w:basedOn w:val="DefaultParagraphFont"/>
    <w:rsid w:val="0099539F"/>
  </w:style>
  <w:style w:type="character" w:customStyle="1" w:styleId="Heading3Char">
    <w:name w:val="Heading 3 Char"/>
    <w:basedOn w:val="DefaultParagraphFont"/>
    <w:link w:val="Heading3"/>
    <w:rsid w:val="00064D9D"/>
    <w:rPr>
      <w:rFonts w:ascii="Arial" w:hAnsi="Arial" w:cs="Arial"/>
      <w:bCs/>
      <w:lang w:val="en-GB" w:eastAsia="ja-JP"/>
    </w:rPr>
  </w:style>
  <w:style w:type="paragraph" w:styleId="TOC2">
    <w:name w:val="toc 2"/>
    <w:basedOn w:val="Normal"/>
    <w:next w:val="Normal"/>
    <w:autoRedefine/>
    <w:uiPriority w:val="39"/>
    <w:qFormat/>
    <w:rsid w:val="00E51726"/>
    <w:pPr>
      <w:ind w:left="200"/>
    </w:pPr>
  </w:style>
  <w:style w:type="paragraph" w:styleId="TOC3">
    <w:name w:val="toc 3"/>
    <w:basedOn w:val="Normal"/>
    <w:next w:val="Normal"/>
    <w:autoRedefine/>
    <w:uiPriority w:val="39"/>
    <w:qFormat/>
    <w:rsid w:val="00E51726"/>
    <w:pPr>
      <w:ind w:left="400"/>
    </w:pPr>
  </w:style>
  <w:style w:type="paragraph" w:styleId="Header">
    <w:name w:val="header"/>
    <w:basedOn w:val="Normal"/>
    <w:rsid w:val="00A21195"/>
    <w:pPr>
      <w:tabs>
        <w:tab w:val="center" w:pos="4153"/>
        <w:tab w:val="right" w:pos="8306"/>
      </w:tabs>
    </w:pPr>
  </w:style>
  <w:style w:type="paragraph" w:customStyle="1" w:styleId="Default">
    <w:name w:val="Default"/>
    <w:rsid w:val="0053552A"/>
    <w:pPr>
      <w:autoSpaceDE w:val="0"/>
      <w:autoSpaceDN w:val="0"/>
      <w:adjustRightInd w:val="0"/>
    </w:pPr>
    <w:rPr>
      <w:rFonts w:ascii="Arial" w:hAnsi="Arial" w:cs="Arial"/>
      <w:color w:val="000000"/>
      <w:sz w:val="24"/>
      <w:szCs w:val="24"/>
      <w:lang w:val="en-GB" w:eastAsia="ja-JP"/>
    </w:rPr>
  </w:style>
  <w:style w:type="character" w:customStyle="1" w:styleId="Heading1Char">
    <w:name w:val="Heading 1 Char"/>
    <w:basedOn w:val="DefaultParagraphFont"/>
    <w:link w:val="Heading1"/>
    <w:rsid w:val="005E30AA"/>
    <w:rPr>
      <w:rFonts w:ascii="Arial" w:hAnsi="Arial" w:cs="Arial"/>
      <w:b/>
      <w:bCs/>
      <w:kern w:val="32"/>
      <w:sz w:val="32"/>
      <w:szCs w:val="32"/>
      <w:lang w:val="en-GB" w:eastAsia="ja-JP"/>
    </w:rPr>
  </w:style>
  <w:style w:type="character" w:customStyle="1" w:styleId="CharChar1">
    <w:name w:val="Char Char1"/>
    <w:basedOn w:val="DefaultParagraphFont"/>
    <w:rsid w:val="00265A2E"/>
    <w:rPr>
      <w:rFonts w:ascii="Arial" w:eastAsia="MS Mincho" w:hAnsi="Arial" w:cs="Arial"/>
      <w:b/>
      <w:bCs/>
      <w:kern w:val="32"/>
      <w:sz w:val="32"/>
      <w:szCs w:val="32"/>
      <w:lang w:val="en-GB" w:eastAsia="ja-JP" w:bidi="ar-SA"/>
    </w:rPr>
  </w:style>
  <w:style w:type="character" w:customStyle="1" w:styleId="Heading4Char">
    <w:name w:val="Heading 4 Char"/>
    <w:basedOn w:val="DefaultParagraphFont"/>
    <w:link w:val="Heading4"/>
    <w:rsid w:val="00CC2A38"/>
    <w:rPr>
      <w:rFonts w:ascii="Arial" w:hAnsi="Arial" w:cs="Arial"/>
      <w:bCs/>
      <w:lang w:val="en-GB" w:eastAsia="ja-JP"/>
    </w:rPr>
  </w:style>
  <w:style w:type="paragraph" w:styleId="EndnoteText">
    <w:name w:val="endnote text"/>
    <w:basedOn w:val="Normal"/>
    <w:link w:val="EndnoteTextChar"/>
    <w:rsid w:val="00EB1250"/>
  </w:style>
  <w:style w:type="character" w:customStyle="1" w:styleId="EndnoteTextChar">
    <w:name w:val="Endnote Text Char"/>
    <w:basedOn w:val="DefaultParagraphFont"/>
    <w:link w:val="EndnoteText"/>
    <w:rsid w:val="00EB1250"/>
    <w:rPr>
      <w:rFonts w:ascii="Arial" w:hAnsi="Arial" w:cs="Arial"/>
      <w:lang w:eastAsia="ja-JP"/>
    </w:rPr>
  </w:style>
  <w:style w:type="character" w:styleId="EndnoteReference">
    <w:name w:val="endnote reference"/>
    <w:basedOn w:val="DefaultParagraphFont"/>
    <w:rsid w:val="00EB1250"/>
    <w:rPr>
      <w:vertAlign w:val="superscript"/>
    </w:rPr>
  </w:style>
  <w:style w:type="paragraph" w:styleId="Revision">
    <w:name w:val="Revision"/>
    <w:hidden/>
    <w:uiPriority w:val="99"/>
    <w:semiHidden/>
    <w:rsid w:val="00F53450"/>
    <w:rPr>
      <w:rFonts w:ascii="Arial" w:hAnsi="Arial" w:cs="Arial"/>
      <w:lang w:eastAsia="ja-JP"/>
    </w:rPr>
  </w:style>
  <w:style w:type="paragraph" w:styleId="ListParagraph">
    <w:name w:val="List Paragraph"/>
    <w:basedOn w:val="Normal"/>
    <w:uiPriority w:val="34"/>
    <w:qFormat/>
    <w:rsid w:val="009B3D1D"/>
    <w:pPr>
      <w:ind w:left="720"/>
      <w:contextualSpacing/>
    </w:pPr>
    <w:rPr>
      <w:rFonts w:ascii="Cambria" w:hAnsi="Cambria" w:cs="Times New Roman"/>
      <w:sz w:val="24"/>
      <w:szCs w:val="24"/>
      <w:lang w:eastAsia="en-US"/>
    </w:rPr>
  </w:style>
  <w:style w:type="paragraph" w:customStyle="1" w:styleId="bodytext">
    <w:name w:val="bodytext"/>
    <w:basedOn w:val="Normal"/>
    <w:rsid w:val="000171C3"/>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CommentTextChar">
    <w:name w:val="Comment Text Char"/>
    <w:basedOn w:val="DefaultParagraphFont"/>
    <w:link w:val="CommentText"/>
    <w:uiPriority w:val="99"/>
    <w:rsid w:val="006D3E78"/>
    <w:rPr>
      <w:rFonts w:ascii="Arial" w:hAnsi="Arial" w:cs="Arial"/>
      <w:lang w:eastAsia="ja-JP"/>
    </w:rPr>
  </w:style>
  <w:style w:type="character" w:customStyle="1" w:styleId="Heading2Char">
    <w:name w:val="Heading 2 Char"/>
    <w:basedOn w:val="DefaultParagraphFont"/>
    <w:link w:val="Heading2"/>
    <w:rsid w:val="00097A88"/>
    <w:rPr>
      <w:rFonts w:ascii="Arial" w:hAnsi="Arial" w:cs="Arial"/>
      <w:bCs/>
      <w:iCs/>
      <w:lang w:val="en-GB" w:eastAsia="ja-JP"/>
    </w:rPr>
  </w:style>
  <w:style w:type="character" w:styleId="Emphasis">
    <w:name w:val="Emphasis"/>
    <w:basedOn w:val="DefaultParagraphFont"/>
    <w:qFormat/>
    <w:rsid w:val="00514EAD"/>
    <w:rPr>
      <w:i/>
      <w:iCs/>
    </w:rPr>
  </w:style>
  <w:style w:type="character" w:customStyle="1" w:styleId="apple-converted-space">
    <w:name w:val="apple-converted-space"/>
    <w:basedOn w:val="DefaultParagraphFont"/>
    <w:rsid w:val="00606383"/>
  </w:style>
  <w:style w:type="paragraph" w:styleId="TOCHeading">
    <w:name w:val="TOC Heading"/>
    <w:basedOn w:val="Heading1"/>
    <w:next w:val="Normal"/>
    <w:uiPriority w:val="39"/>
    <w:unhideWhenUsed/>
    <w:qFormat/>
    <w:rsid w:val="00C81D5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TOC4">
    <w:name w:val="toc 4"/>
    <w:basedOn w:val="Normal"/>
    <w:next w:val="Normal"/>
    <w:autoRedefine/>
    <w:uiPriority w:val="39"/>
    <w:unhideWhenUsed/>
    <w:rsid w:val="00C81D5F"/>
    <w:pPr>
      <w:spacing w:after="100" w:line="276"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C81D5F"/>
    <w:pPr>
      <w:spacing w:after="100" w:line="276"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C81D5F"/>
    <w:pPr>
      <w:spacing w:after="100" w:line="276"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C81D5F"/>
    <w:pPr>
      <w:spacing w:after="100" w:line="276"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C81D5F"/>
    <w:pPr>
      <w:spacing w:after="100" w:line="276"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C81D5F"/>
    <w:pPr>
      <w:spacing w:after="100" w:line="276" w:lineRule="auto"/>
      <w:ind w:left="1760"/>
    </w:pPr>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rsid w:val="0063791E"/>
    <w:rPr>
      <w:color w:val="800080" w:themeColor="followedHyperlink"/>
      <w:u w:val="single"/>
    </w:rPr>
  </w:style>
  <w:style w:type="character" w:customStyle="1" w:styleId="FooterChar">
    <w:name w:val="Footer Char"/>
    <w:basedOn w:val="DefaultParagraphFont"/>
    <w:link w:val="Footer"/>
    <w:uiPriority w:val="99"/>
    <w:rsid w:val="00815CD6"/>
    <w:rPr>
      <w:rFonts w:ascii="Arial" w:hAnsi="Arial" w:cs="Arial"/>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845">
      <w:bodyDiv w:val="1"/>
      <w:marLeft w:val="0"/>
      <w:marRight w:val="0"/>
      <w:marTop w:val="0"/>
      <w:marBottom w:val="0"/>
      <w:divBdr>
        <w:top w:val="none" w:sz="0" w:space="0" w:color="auto"/>
        <w:left w:val="none" w:sz="0" w:space="0" w:color="auto"/>
        <w:bottom w:val="none" w:sz="0" w:space="0" w:color="auto"/>
        <w:right w:val="none" w:sz="0" w:space="0" w:color="auto"/>
      </w:divBdr>
      <w:divsChild>
        <w:div w:id="243615522">
          <w:marLeft w:val="0"/>
          <w:marRight w:val="0"/>
          <w:marTop w:val="0"/>
          <w:marBottom w:val="0"/>
          <w:divBdr>
            <w:top w:val="none" w:sz="0" w:space="0" w:color="auto"/>
            <w:left w:val="none" w:sz="0" w:space="0" w:color="auto"/>
            <w:bottom w:val="none" w:sz="0" w:space="0" w:color="auto"/>
            <w:right w:val="none" w:sz="0" w:space="0" w:color="auto"/>
          </w:divBdr>
          <w:divsChild>
            <w:div w:id="444933076">
              <w:marLeft w:val="0"/>
              <w:marRight w:val="0"/>
              <w:marTop w:val="0"/>
              <w:marBottom w:val="0"/>
              <w:divBdr>
                <w:top w:val="none" w:sz="0" w:space="0" w:color="auto"/>
                <w:left w:val="none" w:sz="0" w:space="0" w:color="auto"/>
                <w:bottom w:val="none" w:sz="0" w:space="0" w:color="auto"/>
                <w:right w:val="none" w:sz="0" w:space="0" w:color="auto"/>
              </w:divBdr>
            </w:div>
            <w:div w:id="522985911">
              <w:marLeft w:val="0"/>
              <w:marRight w:val="0"/>
              <w:marTop w:val="0"/>
              <w:marBottom w:val="0"/>
              <w:divBdr>
                <w:top w:val="none" w:sz="0" w:space="0" w:color="auto"/>
                <w:left w:val="none" w:sz="0" w:space="0" w:color="auto"/>
                <w:bottom w:val="none" w:sz="0" w:space="0" w:color="auto"/>
                <w:right w:val="none" w:sz="0" w:space="0" w:color="auto"/>
              </w:divBdr>
            </w:div>
            <w:div w:id="550924653">
              <w:marLeft w:val="0"/>
              <w:marRight w:val="0"/>
              <w:marTop w:val="0"/>
              <w:marBottom w:val="0"/>
              <w:divBdr>
                <w:top w:val="none" w:sz="0" w:space="0" w:color="auto"/>
                <w:left w:val="none" w:sz="0" w:space="0" w:color="auto"/>
                <w:bottom w:val="none" w:sz="0" w:space="0" w:color="auto"/>
                <w:right w:val="none" w:sz="0" w:space="0" w:color="auto"/>
              </w:divBdr>
            </w:div>
            <w:div w:id="558714511">
              <w:marLeft w:val="0"/>
              <w:marRight w:val="0"/>
              <w:marTop w:val="0"/>
              <w:marBottom w:val="0"/>
              <w:divBdr>
                <w:top w:val="none" w:sz="0" w:space="0" w:color="auto"/>
                <w:left w:val="none" w:sz="0" w:space="0" w:color="auto"/>
                <w:bottom w:val="none" w:sz="0" w:space="0" w:color="auto"/>
                <w:right w:val="none" w:sz="0" w:space="0" w:color="auto"/>
              </w:divBdr>
            </w:div>
            <w:div w:id="1876891799">
              <w:marLeft w:val="0"/>
              <w:marRight w:val="0"/>
              <w:marTop w:val="0"/>
              <w:marBottom w:val="0"/>
              <w:divBdr>
                <w:top w:val="none" w:sz="0" w:space="0" w:color="auto"/>
                <w:left w:val="none" w:sz="0" w:space="0" w:color="auto"/>
                <w:bottom w:val="none" w:sz="0" w:space="0" w:color="auto"/>
                <w:right w:val="none" w:sz="0" w:space="0" w:color="auto"/>
              </w:divBdr>
            </w:div>
            <w:div w:id="1893152659">
              <w:marLeft w:val="0"/>
              <w:marRight w:val="0"/>
              <w:marTop w:val="0"/>
              <w:marBottom w:val="0"/>
              <w:divBdr>
                <w:top w:val="none" w:sz="0" w:space="0" w:color="auto"/>
                <w:left w:val="none" w:sz="0" w:space="0" w:color="auto"/>
                <w:bottom w:val="none" w:sz="0" w:space="0" w:color="auto"/>
                <w:right w:val="none" w:sz="0" w:space="0" w:color="auto"/>
              </w:divBdr>
            </w:div>
            <w:div w:id="1954708879">
              <w:marLeft w:val="0"/>
              <w:marRight w:val="0"/>
              <w:marTop w:val="0"/>
              <w:marBottom w:val="0"/>
              <w:divBdr>
                <w:top w:val="none" w:sz="0" w:space="0" w:color="auto"/>
                <w:left w:val="none" w:sz="0" w:space="0" w:color="auto"/>
                <w:bottom w:val="none" w:sz="0" w:space="0" w:color="auto"/>
                <w:right w:val="none" w:sz="0" w:space="0" w:color="auto"/>
              </w:divBdr>
            </w:div>
            <w:div w:id="20610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547">
      <w:bodyDiv w:val="1"/>
      <w:marLeft w:val="0"/>
      <w:marRight w:val="0"/>
      <w:marTop w:val="0"/>
      <w:marBottom w:val="0"/>
      <w:divBdr>
        <w:top w:val="none" w:sz="0" w:space="0" w:color="auto"/>
        <w:left w:val="none" w:sz="0" w:space="0" w:color="auto"/>
        <w:bottom w:val="none" w:sz="0" w:space="0" w:color="auto"/>
        <w:right w:val="none" w:sz="0" w:space="0" w:color="auto"/>
      </w:divBdr>
      <w:divsChild>
        <w:div w:id="307976248">
          <w:marLeft w:val="0"/>
          <w:marRight w:val="0"/>
          <w:marTop w:val="0"/>
          <w:marBottom w:val="0"/>
          <w:divBdr>
            <w:top w:val="none" w:sz="0" w:space="0" w:color="auto"/>
            <w:left w:val="none" w:sz="0" w:space="0" w:color="auto"/>
            <w:bottom w:val="none" w:sz="0" w:space="0" w:color="auto"/>
            <w:right w:val="none" w:sz="0" w:space="0" w:color="auto"/>
          </w:divBdr>
        </w:div>
      </w:divsChild>
    </w:div>
    <w:div w:id="200555565">
      <w:bodyDiv w:val="1"/>
      <w:marLeft w:val="0"/>
      <w:marRight w:val="0"/>
      <w:marTop w:val="0"/>
      <w:marBottom w:val="0"/>
      <w:divBdr>
        <w:top w:val="none" w:sz="0" w:space="0" w:color="auto"/>
        <w:left w:val="none" w:sz="0" w:space="0" w:color="auto"/>
        <w:bottom w:val="none" w:sz="0" w:space="0" w:color="auto"/>
        <w:right w:val="none" w:sz="0" w:space="0" w:color="auto"/>
      </w:divBdr>
    </w:div>
    <w:div w:id="283387160">
      <w:bodyDiv w:val="1"/>
      <w:marLeft w:val="0"/>
      <w:marRight w:val="0"/>
      <w:marTop w:val="0"/>
      <w:marBottom w:val="0"/>
      <w:divBdr>
        <w:top w:val="none" w:sz="0" w:space="0" w:color="auto"/>
        <w:left w:val="none" w:sz="0" w:space="0" w:color="auto"/>
        <w:bottom w:val="none" w:sz="0" w:space="0" w:color="auto"/>
        <w:right w:val="none" w:sz="0" w:space="0" w:color="auto"/>
      </w:divBdr>
    </w:div>
    <w:div w:id="297616272">
      <w:bodyDiv w:val="1"/>
      <w:marLeft w:val="0"/>
      <w:marRight w:val="0"/>
      <w:marTop w:val="0"/>
      <w:marBottom w:val="0"/>
      <w:divBdr>
        <w:top w:val="none" w:sz="0" w:space="0" w:color="auto"/>
        <w:left w:val="none" w:sz="0" w:space="0" w:color="auto"/>
        <w:bottom w:val="none" w:sz="0" w:space="0" w:color="auto"/>
        <w:right w:val="none" w:sz="0" w:space="0" w:color="auto"/>
      </w:divBdr>
    </w:div>
    <w:div w:id="326785095">
      <w:bodyDiv w:val="1"/>
      <w:marLeft w:val="0"/>
      <w:marRight w:val="0"/>
      <w:marTop w:val="0"/>
      <w:marBottom w:val="0"/>
      <w:divBdr>
        <w:top w:val="none" w:sz="0" w:space="0" w:color="auto"/>
        <w:left w:val="none" w:sz="0" w:space="0" w:color="auto"/>
        <w:bottom w:val="none" w:sz="0" w:space="0" w:color="auto"/>
        <w:right w:val="none" w:sz="0" w:space="0" w:color="auto"/>
      </w:divBdr>
      <w:divsChild>
        <w:div w:id="8409277">
          <w:marLeft w:val="0"/>
          <w:marRight w:val="0"/>
          <w:marTop w:val="0"/>
          <w:marBottom w:val="0"/>
          <w:divBdr>
            <w:top w:val="none" w:sz="0" w:space="0" w:color="auto"/>
            <w:left w:val="none" w:sz="0" w:space="0" w:color="auto"/>
            <w:bottom w:val="none" w:sz="0" w:space="0" w:color="auto"/>
            <w:right w:val="none" w:sz="0" w:space="0" w:color="auto"/>
          </w:divBdr>
        </w:div>
        <w:div w:id="50009420">
          <w:marLeft w:val="0"/>
          <w:marRight w:val="0"/>
          <w:marTop w:val="0"/>
          <w:marBottom w:val="0"/>
          <w:divBdr>
            <w:top w:val="none" w:sz="0" w:space="0" w:color="auto"/>
            <w:left w:val="none" w:sz="0" w:space="0" w:color="auto"/>
            <w:bottom w:val="none" w:sz="0" w:space="0" w:color="auto"/>
            <w:right w:val="none" w:sz="0" w:space="0" w:color="auto"/>
          </w:divBdr>
        </w:div>
        <w:div w:id="80562626">
          <w:marLeft w:val="0"/>
          <w:marRight w:val="0"/>
          <w:marTop w:val="0"/>
          <w:marBottom w:val="0"/>
          <w:divBdr>
            <w:top w:val="none" w:sz="0" w:space="0" w:color="auto"/>
            <w:left w:val="none" w:sz="0" w:space="0" w:color="auto"/>
            <w:bottom w:val="none" w:sz="0" w:space="0" w:color="auto"/>
            <w:right w:val="none" w:sz="0" w:space="0" w:color="auto"/>
          </w:divBdr>
        </w:div>
        <w:div w:id="181019089">
          <w:marLeft w:val="0"/>
          <w:marRight w:val="0"/>
          <w:marTop w:val="0"/>
          <w:marBottom w:val="0"/>
          <w:divBdr>
            <w:top w:val="none" w:sz="0" w:space="0" w:color="auto"/>
            <w:left w:val="none" w:sz="0" w:space="0" w:color="auto"/>
            <w:bottom w:val="none" w:sz="0" w:space="0" w:color="auto"/>
            <w:right w:val="none" w:sz="0" w:space="0" w:color="auto"/>
          </w:divBdr>
        </w:div>
        <w:div w:id="184178313">
          <w:marLeft w:val="0"/>
          <w:marRight w:val="0"/>
          <w:marTop w:val="0"/>
          <w:marBottom w:val="0"/>
          <w:divBdr>
            <w:top w:val="none" w:sz="0" w:space="0" w:color="auto"/>
            <w:left w:val="none" w:sz="0" w:space="0" w:color="auto"/>
            <w:bottom w:val="none" w:sz="0" w:space="0" w:color="auto"/>
            <w:right w:val="none" w:sz="0" w:space="0" w:color="auto"/>
          </w:divBdr>
        </w:div>
        <w:div w:id="383019255">
          <w:marLeft w:val="0"/>
          <w:marRight w:val="0"/>
          <w:marTop w:val="0"/>
          <w:marBottom w:val="0"/>
          <w:divBdr>
            <w:top w:val="none" w:sz="0" w:space="0" w:color="auto"/>
            <w:left w:val="none" w:sz="0" w:space="0" w:color="auto"/>
            <w:bottom w:val="none" w:sz="0" w:space="0" w:color="auto"/>
            <w:right w:val="none" w:sz="0" w:space="0" w:color="auto"/>
          </w:divBdr>
        </w:div>
        <w:div w:id="384183384">
          <w:marLeft w:val="0"/>
          <w:marRight w:val="0"/>
          <w:marTop w:val="0"/>
          <w:marBottom w:val="0"/>
          <w:divBdr>
            <w:top w:val="none" w:sz="0" w:space="0" w:color="auto"/>
            <w:left w:val="none" w:sz="0" w:space="0" w:color="auto"/>
            <w:bottom w:val="none" w:sz="0" w:space="0" w:color="auto"/>
            <w:right w:val="none" w:sz="0" w:space="0" w:color="auto"/>
          </w:divBdr>
        </w:div>
        <w:div w:id="587468157">
          <w:marLeft w:val="0"/>
          <w:marRight w:val="0"/>
          <w:marTop w:val="0"/>
          <w:marBottom w:val="0"/>
          <w:divBdr>
            <w:top w:val="none" w:sz="0" w:space="0" w:color="auto"/>
            <w:left w:val="none" w:sz="0" w:space="0" w:color="auto"/>
            <w:bottom w:val="none" w:sz="0" w:space="0" w:color="auto"/>
            <w:right w:val="none" w:sz="0" w:space="0" w:color="auto"/>
          </w:divBdr>
        </w:div>
        <w:div w:id="644940761">
          <w:marLeft w:val="0"/>
          <w:marRight w:val="0"/>
          <w:marTop w:val="0"/>
          <w:marBottom w:val="0"/>
          <w:divBdr>
            <w:top w:val="none" w:sz="0" w:space="0" w:color="auto"/>
            <w:left w:val="none" w:sz="0" w:space="0" w:color="auto"/>
            <w:bottom w:val="none" w:sz="0" w:space="0" w:color="auto"/>
            <w:right w:val="none" w:sz="0" w:space="0" w:color="auto"/>
          </w:divBdr>
        </w:div>
        <w:div w:id="673186163">
          <w:marLeft w:val="0"/>
          <w:marRight w:val="0"/>
          <w:marTop w:val="0"/>
          <w:marBottom w:val="0"/>
          <w:divBdr>
            <w:top w:val="none" w:sz="0" w:space="0" w:color="auto"/>
            <w:left w:val="none" w:sz="0" w:space="0" w:color="auto"/>
            <w:bottom w:val="none" w:sz="0" w:space="0" w:color="auto"/>
            <w:right w:val="none" w:sz="0" w:space="0" w:color="auto"/>
          </w:divBdr>
        </w:div>
        <w:div w:id="849954549">
          <w:marLeft w:val="0"/>
          <w:marRight w:val="0"/>
          <w:marTop w:val="0"/>
          <w:marBottom w:val="0"/>
          <w:divBdr>
            <w:top w:val="none" w:sz="0" w:space="0" w:color="auto"/>
            <w:left w:val="none" w:sz="0" w:space="0" w:color="auto"/>
            <w:bottom w:val="none" w:sz="0" w:space="0" w:color="auto"/>
            <w:right w:val="none" w:sz="0" w:space="0" w:color="auto"/>
          </w:divBdr>
        </w:div>
        <w:div w:id="867177349">
          <w:marLeft w:val="0"/>
          <w:marRight w:val="0"/>
          <w:marTop w:val="0"/>
          <w:marBottom w:val="0"/>
          <w:divBdr>
            <w:top w:val="none" w:sz="0" w:space="0" w:color="auto"/>
            <w:left w:val="none" w:sz="0" w:space="0" w:color="auto"/>
            <w:bottom w:val="none" w:sz="0" w:space="0" w:color="auto"/>
            <w:right w:val="none" w:sz="0" w:space="0" w:color="auto"/>
          </w:divBdr>
        </w:div>
        <w:div w:id="871070515">
          <w:marLeft w:val="0"/>
          <w:marRight w:val="0"/>
          <w:marTop w:val="0"/>
          <w:marBottom w:val="0"/>
          <w:divBdr>
            <w:top w:val="none" w:sz="0" w:space="0" w:color="auto"/>
            <w:left w:val="none" w:sz="0" w:space="0" w:color="auto"/>
            <w:bottom w:val="none" w:sz="0" w:space="0" w:color="auto"/>
            <w:right w:val="none" w:sz="0" w:space="0" w:color="auto"/>
          </w:divBdr>
        </w:div>
        <w:div w:id="884833527">
          <w:marLeft w:val="0"/>
          <w:marRight w:val="0"/>
          <w:marTop w:val="0"/>
          <w:marBottom w:val="0"/>
          <w:divBdr>
            <w:top w:val="none" w:sz="0" w:space="0" w:color="auto"/>
            <w:left w:val="none" w:sz="0" w:space="0" w:color="auto"/>
            <w:bottom w:val="none" w:sz="0" w:space="0" w:color="auto"/>
            <w:right w:val="none" w:sz="0" w:space="0" w:color="auto"/>
          </w:divBdr>
        </w:div>
        <w:div w:id="969362511">
          <w:marLeft w:val="0"/>
          <w:marRight w:val="0"/>
          <w:marTop w:val="0"/>
          <w:marBottom w:val="0"/>
          <w:divBdr>
            <w:top w:val="none" w:sz="0" w:space="0" w:color="auto"/>
            <w:left w:val="none" w:sz="0" w:space="0" w:color="auto"/>
            <w:bottom w:val="none" w:sz="0" w:space="0" w:color="auto"/>
            <w:right w:val="none" w:sz="0" w:space="0" w:color="auto"/>
          </w:divBdr>
        </w:div>
        <w:div w:id="1022366692">
          <w:marLeft w:val="0"/>
          <w:marRight w:val="0"/>
          <w:marTop w:val="0"/>
          <w:marBottom w:val="0"/>
          <w:divBdr>
            <w:top w:val="none" w:sz="0" w:space="0" w:color="auto"/>
            <w:left w:val="none" w:sz="0" w:space="0" w:color="auto"/>
            <w:bottom w:val="none" w:sz="0" w:space="0" w:color="auto"/>
            <w:right w:val="none" w:sz="0" w:space="0" w:color="auto"/>
          </w:divBdr>
        </w:div>
        <w:div w:id="1368261143">
          <w:marLeft w:val="0"/>
          <w:marRight w:val="0"/>
          <w:marTop w:val="0"/>
          <w:marBottom w:val="0"/>
          <w:divBdr>
            <w:top w:val="none" w:sz="0" w:space="0" w:color="auto"/>
            <w:left w:val="none" w:sz="0" w:space="0" w:color="auto"/>
            <w:bottom w:val="none" w:sz="0" w:space="0" w:color="auto"/>
            <w:right w:val="none" w:sz="0" w:space="0" w:color="auto"/>
          </w:divBdr>
        </w:div>
        <w:div w:id="1587227275">
          <w:marLeft w:val="0"/>
          <w:marRight w:val="0"/>
          <w:marTop w:val="0"/>
          <w:marBottom w:val="0"/>
          <w:divBdr>
            <w:top w:val="none" w:sz="0" w:space="0" w:color="auto"/>
            <w:left w:val="none" w:sz="0" w:space="0" w:color="auto"/>
            <w:bottom w:val="none" w:sz="0" w:space="0" w:color="auto"/>
            <w:right w:val="none" w:sz="0" w:space="0" w:color="auto"/>
          </w:divBdr>
        </w:div>
        <w:div w:id="1722821161">
          <w:marLeft w:val="0"/>
          <w:marRight w:val="0"/>
          <w:marTop w:val="0"/>
          <w:marBottom w:val="0"/>
          <w:divBdr>
            <w:top w:val="none" w:sz="0" w:space="0" w:color="auto"/>
            <w:left w:val="none" w:sz="0" w:space="0" w:color="auto"/>
            <w:bottom w:val="none" w:sz="0" w:space="0" w:color="auto"/>
            <w:right w:val="none" w:sz="0" w:space="0" w:color="auto"/>
          </w:divBdr>
        </w:div>
        <w:div w:id="1747994375">
          <w:marLeft w:val="0"/>
          <w:marRight w:val="0"/>
          <w:marTop w:val="0"/>
          <w:marBottom w:val="0"/>
          <w:divBdr>
            <w:top w:val="none" w:sz="0" w:space="0" w:color="auto"/>
            <w:left w:val="none" w:sz="0" w:space="0" w:color="auto"/>
            <w:bottom w:val="none" w:sz="0" w:space="0" w:color="auto"/>
            <w:right w:val="none" w:sz="0" w:space="0" w:color="auto"/>
          </w:divBdr>
        </w:div>
        <w:div w:id="1910965588">
          <w:marLeft w:val="0"/>
          <w:marRight w:val="0"/>
          <w:marTop w:val="0"/>
          <w:marBottom w:val="0"/>
          <w:divBdr>
            <w:top w:val="none" w:sz="0" w:space="0" w:color="auto"/>
            <w:left w:val="none" w:sz="0" w:space="0" w:color="auto"/>
            <w:bottom w:val="none" w:sz="0" w:space="0" w:color="auto"/>
            <w:right w:val="none" w:sz="0" w:space="0" w:color="auto"/>
          </w:divBdr>
        </w:div>
        <w:div w:id="1928031723">
          <w:marLeft w:val="0"/>
          <w:marRight w:val="0"/>
          <w:marTop w:val="0"/>
          <w:marBottom w:val="0"/>
          <w:divBdr>
            <w:top w:val="none" w:sz="0" w:space="0" w:color="auto"/>
            <w:left w:val="none" w:sz="0" w:space="0" w:color="auto"/>
            <w:bottom w:val="none" w:sz="0" w:space="0" w:color="auto"/>
            <w:right w:val="none" w:sz="0" w:space="0" w:color="auto"/>
          </w:divBdr>
        </w:div>
        <w:div w:id="2030712532">
          <w:marLeft w:val="0"/>
          <w:marRight w:val="0"/>
          <w:marTop w:val="0"/>
          <w:marBottom w:val="0"/>
          <w:divBdr>
            <w:top w:val="none" w:sz="0" w:space="0" w:color="auto"/>
            <w:left w:val="none" w:sz="0" w:space="0" w:color="auto"/>
            <w:bottom w:val="none" w:sz="0" w:space="0" w:color="auto"/>
            <w:right w:val="none" w:sz="0" w:space="0" w:color="auto"/>
          </w:divBdr>
        </w:div>
      </w:divsChild>
    </w:div>
    <w:div w:id="330721608">
      <w:bodyDiv w:val="1"/>
      <w:marLeft w:val="0"/>
      <w:marRight w:val="0"/>
      <w:marTop w:val="0"/>
      <w:marBottom w:val="0"/>
      <w:divBdr>
        <w:top w:val="none" w:sz="0" w:space="0" w:color="auto"/>
        <w:left w:val="none" w:sz="0" w:space="0" w:color="auto"/>
        <w:bottom w:val="none" w:sz="0" w:space="0" w:color="auto"/>
        <w:right w:val="none" w:sz="0" w:space="0" w:color="auto"/>
      </w:divBdr>
    </w:div>
    <w:div w:id="383255132">
      <w:bodyDiv w:val="1"/>
      <w:marLeft w:val="0"/>
      <w:marRight w:val="0"/>
      <w:marTop w:val="0"/>
      <w:marBottom w:val="0"/>
      <w:divBdr>
        <w:top w:val="none" w:sz="0" w:space="0" w:color="auto"/>
        <w:left w:val="none" w:sz="0" w:space="0" w:color="auto"/>
        <w:bottom w:val="none" w:sz="0" w:space="0" w:color="auto"/>
        <w:right w:val="none" w:sz="0" w:space="0" w:color="auto"/>
      </w:divBdr>
    </w:div>
    <w:div w:id="443571928">
      <w:bodyDiv w:val="1"/>
      <w:marLeft w:val="0"/>
      <w:marRight w:val="0"/>
      <w:marTop w:val="0"/>
      <w:marBottom w:val="0"/>
      <w:divBdr>
        <w:top w:val="none" w:sz="0" w:space="0" w:color="auto"/>
        <w:left w:val="none" w:sz="0" w:space="0" w:color="auto"/>
        <w:bottom w:val="none" w:sz="0" w:space="0" w:color="auto"/>
        <w:right w:val="none" w:sz="0" w:space="0" w:color="auto"/>
      </w:divBdr>
      <w:divsChild>
        <w:div w:id="417291775">
          <w:marLeft w:val="0"/>
          <w:marRight w:val="0"/>
          <w:marTop w:val="0"/>
          <w:marBottom w:val="0"/>
          <w:divBdr>
            <w:top w:val="none" w:sz="0" w:space="0" w:color="auto"/>
            <w:left w:val="none" w:sz="0" w:space="0" w:color="auto"/>
            <w:bottom w:val="none" w:sz="0" w:space="0" w:color="auto"/>
            <w:right w:val="none" w:sz="0" w:space="0" w:color="auto"/>
          </w:divBdr>
          <w:divsChild>
            <w:div w:id="468206731">
              <w:marLeft w:val="0"/>
              <w:marRight w:val="0"/>
              <w:marTop w:val="0"/>
              <w:marBottom w:val="0"/>
              <w:divBdr>
                <w:top w:val="none" w:sz="0" w:space="0" w:color="auto"/>
                <w:left w:val="none" w:sz="0" w:space="0" w:color="auto"/>
                <w:bottom w:val="none" w:sz="0" w:space="0" w:color="auto"/>
                <w:right w:val="none" w:sz="0" w:space="0" w:color="auto"/>
              </w:divBdr>
            </w:div>
            <w:div w:id="518741082">
              <w:marLeft w:val="0"/>
              <w:marRight w:val="0"/>
              <w:marTop w:val="0"/>
              <w:marBottom w:val="0"/>
              <w:divBdr>
                <w:top w:val="none" w:sz="0" w:space="0" w:color="auto"/>
                <w:left w:val="none" w:sz="0" w:space="0" w:color="auto"/>
                <w:bottom w:val="none" w:sz="0" w:space="0" w:color="auto"/>
                <w:right w:val="none" w:sz="0" w:space="0" w:color="auto"/>
              </w:divBdr>
            </w:div>
            <w:div w:id="1718360743">
              <w:marLeft w:val="0"/>
              <w:marRight w:val="0"/>
              <w:marTop w:val="0"/>
              <w:marBottom w:val="0"/>
              <w:divBdr>
                <w:top w:val="none" w:sz="0" w:space="0" w:color="auto"/>
                <w:left w:val="none" w:sz="0" w:space="0" w:color="auto"/>
                <w:bottom w:val="none" w:sz="0" w:space="0" w:color="auto"/>
                <w:right w:val="none" w:sz="0" w:space="0" w:color="auto"/>
              </w:divBdr>
            </w:div>
            <w:div w:id="21130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09068">
      <w:bodyDiv w:val="1"/>
      <w:marLeft w:val="0"/>
      <w:marRight w:val="0"/>
      <w:marTop w:val="0"/>
      <w:marBottom w:val="0"/>
      <w:divBdr>
        <w:top w:val="none" w:sz="0" w:space="0" w:color="auto"/>
        <w:left w:val="none" w:sz="0" w:space="0" w:color="auto"/>
        <w:bottom w:val="none" w:sz="0" w:space="0" w:color="auto"/>
        <w:right w:val="none" w:sz="0" w:space="0" w:color="auto"/>
      </w:divBdr>
      <w:divsChild>
        <w:div w:id="66651265">
          <w:marLeft w:val="0"/>
          <w:marRight w:val="0"/>
          <w:marTop w:val="0"/>
          <w:marBottom w:val="0"/>
          <w:divBdr>
            <w:top w:val="none" w:sz="0" w:space="0" w:color="auto"/>
            <w:left w:val="none" w:sz="0" w:space="0" w:color="auto"/>
            <w:bottom w:val="none" w:sz="0" w:space="0" w:color="auto"/>
            <w:right w:val="none" w:sz="0" w:space="0" w:color="auto"/>
          </w:divBdr>
        </w:div>
        <w:div w:id="148446000">
          <w:marLeft w:val="0"/>
          <w:marRight w:val="0"/>
          <w:marTop w:val="0"/>
          <w:marBottom w:val="0"/>
          <w:divBdr>
            <w:top w:val="none" w:sz="0" w:space="0" w:color="auto"/>
            <w:left w:val="none" w:sz="0" w:space="0" w:color="auto"/>
            <w:bottom w:val="none" w:sz="0" w:space="0" w:color="auto"/>
            <w:right w:val="none" w:sz="0" w:space="0" w:color="auto"/>
          </w:divBdr>
        </w:div>
        <w:div w:id="163126494">
          <w:marLeft w:val="0"/>
          <w:marRight w:val="0"/>
          <w:marTop w:val="0"/>
          <w:marBottom w:val="0"/>
          <w:divBdr>
            <w:top w:val="none" w:sz="0" w:space="0" w:color="auto"/>
            <w:left w:val="none" w:sz="0" w:space="0" w:color="auto"/>
            <w:bottom w:val="none" w:sz="0" w:space="0" w:color="auto"/>
            <w:right w:val="none" w:sz="0" w:space="0" w:color="auto"/>
          </w:divBdr>
        </w:div>
        <w:div w:id="177550365">
          <w:marLeft w:val="0"/>
          <w:marRight w:val="0"/>
          <w:marTop w:val="0"/>
          <w:marBottom w:val="0"/>
          <w:divBdr>
            <w:top w:val="none" w:sz="0" w:space="0" w:color="auto"/>
            <w:left w:val="none" w:sz="0" w:space="0" w:color="auto"/>
            <w:bottom w:val="none" w:sz="0" w:space="0" w:color="auto"/>
            <w:right w:val="none" w:sz="0" w:space="0" w:color="auto"/>
          </w:divBdr>
        </w:div>
        <w:div w:id="308675542">
          <w:marLeft w:val="0"/>
          <w:marRight w:val="0"/>
          <w:marTop w:val="0"/>
          <w:marBottom w:val="0"/>
          <w:divBdr>
            <w:top w:val="none" w:sz="0" w:space="0" w:color="auto"/>
            <w:left w:val="none" w:sz="0" w:space="0" w:color="auto"/>
            <w:bottom w:val="none" w:sz="0" w:space="0" w:color="auto"/>
            <w:right w:val="none" w:sz="0" w:space="0" w:color="auto"/>
          </w:divBdr>
        </w:div>
        <w:div w:id="325521965">
          <w:marLeft w:val="0"/>
          <w:marRight w:val="0"/>
          <w:marTop w:val="0"/>
          <w:marBottom w:val="0"/>
          <w:divBdr>
            <w:top w:val="none" w:sz="0" w:space="0" w:color="auto"/>
            <w:left w:val="none" w:sz="0" w:space="0" w:color="auto"/>
            <w:bottom w:val="none" w:sz="0" w:space="0" w:color="auto"/>
            <w:right w:val="none" w:sz="0" w:space="0" w:color="auto"/>
          </w:divBdr>
        </w:div>
        <w:div w:id="589385924">
          <w:marLeft w:val="0"/>
          <w:marRight w:val="0"/>
          <w:marTop w:val="0"/>
          <w:marBottom w:val="0"/>
          <w:divBdr>
            <w:top w:val="none" w:sz="0" w:space="0" w:color="auto"/>
            <w:left w:val="none" w:sz="0" w:space="0" w:color="auto"/>
            <w:bottom w:val="none" w:sz="0" w:space="0" w:color="auto"/>
            <w:right w:val="none" w:sz="0" w:space="0" w:color="auto"/>
          </w:divBdr>
        </w:div>
        <w:div w:id="614867584">
          <w:marLeft w:val="0"/>
          <w:marRight w:val="0"/>
          <w:marTop w:val="0"/>
          <w:marBottom w:val="0"/>
          <w:divBdr>
            <w:top w:val="none" w:sz="0" w:space="0" w:color="auto"/>
            <w:left w:val="none" w:sz="0" w:space="0" w:color="auto"/>
            <w:bottom w:val="none" w:sz="0" w:space="0" w:color="auto"/>
            <w:right w:val="none" w:sz="0" w:space="0" w:color="auto"/>
          </w:divBdr>
        </w:div>
        <w:div w:id="650333356">
          <w:marLeft w:val="0"/>
          <w:marRight w:val="0"/>
          <w:marTop w:val="0"/>
          <w:marBottom w:val="0"/>
          <w:divBdr>
            <w:top w:val="none" w:sz="0" w:space="0" w:color="auto"/>
            <w:left w:val="none" w:sz="0" w:space="0" w:color="auto"/>
            <w:bottom w:val="none" w:sz="0" w:space="0" w:color="auto"/>
            <w:right w:val="none" w:sz="0" w:space="0" w:color="auto"/>
          </w:divBdr>
        </w:div>
        <w:div w:id="662004504">
          <w:marLeft w:val="0"/>
          <w:marRight w:val="0"/>
          <w:marTop w:val="0"/>
          <w:marBottom w:val="0"/>
          <w:divBdr>
            <w:top w:val="none" w:sz="0" w:space="0" w:color="auto"/>
            <w:left w:val="none" w:sz="0" w:space="0" w:color="auto"/>
            <w:bottom w:val="none" w:sz="0" w:space="0" w:color="auto"/>
            <w:right w:val="none" w:sz="0" w:space="0" w:color="auto"/>
          </w:divBdr>
        </w:div>
        <w:div w:id="895431712">
          <w:marLeft w:val="0"/>
          <w:marRight w:val="0"/>
          <w:marTop w:val="0"/>
          <w:marBottom w:val="0"/>
          <w:divBdr>
            <w:top w:val="none" w:sz="0" w:space="0" w:color="auto"/>
            <w:left w:val="none" w:sz="0" w:space="0" w:color="auto"/>
            <w:bottom w:val="none" w:sz="0" w:space="0" w:color="auto"/>
            <w:right w:val="none" w:sz="0" w:space="0" w:color="auto"/>
          </w:divBdr>
        </w:div>
        <w:div w:id="923146312">
          <w:marLeft w:val="0"/>
          <w:marRight w:val="0"/>
          <w:marTop w:val="0"/>
          <w:marBottom w:val="0"/>
          <w:divBdr>
            <w:top w:val="none" w:sz="0" w:space="0" w:color="auto"/>
            <w:left w:val="none" w:sz="0" w:space="0" w:color="auto"/>
            <w:bottom w:val="none" w:sz="0" w:space="0" w:color="auto"/>
            <w:right w:val="none" w:sz="0" w:space="0" w:color="auto"/>
          </w:divBdr>
        </w:div>
        <w:div w:id="979312446">
          <w:marLeft w:val="0"/>
          <w:marRight w:val="0"/>
          <w:marTop w:val="0"/>
          <w:marBottom w:val="0"/>
          <w:divBdr>
            <w:top w:val="none" w:sz="0" w:space="0" w:color="auto"/>
            <w:left w:val="none" w:sz="0" w:space="0" w:color="auto"/>
            <w:bottom w:val="none" w:sz="0" w:space="0" w:color="auto"/>
            <w:right w:val="none" w:sz="0" w:space="0" w:color="auto"/>
          </w:divBdr>
        </w:div>
        <w:div w:id="1006129932">
          <w:marLeft w:val="0"/>
          <w:marRight w:val="0"/>
          <w:marTop w:val="0"/>
          <w:marBottom w:val="0"/>
          <w:divBdr>
            <w:top w:val="none" w:sz="0" w:space="0" w:color="auto"/>
            <w:left w:val="none" w:sz="0" w:space="0" w:color="auto"/>
            <w:bottom w:val="none" w:sz="0" w:space="0" w:color="auto"/>
            <w:right w:val="none" w:sz="0" w:space="0" w:color="auto"/>
          </w:divBdr>
        </w:div>
        <w:div w:id="1148979778">
          <w:marLeft w:val="0"/>
          <w:marRight w:val="0"/>
          <w:marTop w:val="0"/>
          <w:marBottom w:val="0"/>
          <w:divBdr>
            <w:top w:val="none" w:sz="0" w:space="0" w:color="auto"/>
            <w:left w:val="none" w:sz="0" w:space="0" w:color="auto"/>
            <w:bottom w:val="none" w:sz="0" w:space="0" w:color="auto"/>
            <w:right w:val="none" w:sz="0" w:space="0" w:color="auto"/>
          </w:divBdr>
        </w:div>
        <w:div w:id="1289824263">
          <w:marLeft w:val="0"/>
          <w:marRight w:val="0"/>
          <w:marTop w:val="0"/>
          <w:marBottom w:val="0"/>
          <w:divBdr>
            <w:top w:val="none" w:sz="0" w:space="0" w:color="auto"/>
            <w:left w:val="none" w:sz="0" w:space="0" w:color="auto"/>
            <w:bottom w:val="none" w:sz="0" w:space="0" w:color="auto"/>
            <w:right w:val="none" w:sz="0" w:space="0" w:color="auto"/>
          </w:divBdr>
        </w:div>
        <w:div w:id="1333754018">
          <w:marLeft w:val="0"/>
          <w:marRight w:val="0"/>
          <w:marTop w:val="0"/>
          <w:marBottom w:val="0"/>
          <w:divBdr>
            <w:top w:val="none" w:sz="0" w:space="0" w:color="auto"/>
            <w:left w:val="none" w:sz="0" w:space="0" w:color="auto"/>
            <w:bottom w:val="none" w:sz="0" w:space="0" w:color="auto"/>
            <w:right w:val="none" w:sz="0" w:space="0" w:color="auto"/>
          </w:divBdr>
        </w:div>
        <w:div w:id="1496072254">
          <w:marLeft w:val="0"/>
          <w:marRight w:val="0"/>
          <w:marTop w:val="0"/>
          <w:marBottom w:val="0"/>
          <w:divBdr>
            <w:top w:val="none" w:sz="0" w:space="0" w:color="auto"/>
            <w:left w:val="none" w:sz="0" w:space="0" w:color="auto"/>
            <w:bottom w:val="none" w:sz="0" w:space="0" w:color="auto"/>
            <w:right w:val="none" w:sz="0" w:space="0" w:color="auto"/>
          </w:divBdr>
        </w:div>
        <w:div w:id="1605377388">
          <w:marLeft w:val="0"/>
          <w:marRight w:val="0"/>
          <w:marTop w:val="0"/>
          <w:marBottom w:val="0"/>
          <w:divBdr>
            <w:top w:val="none" w:sz="0" w:space="0" w:color="auto"/>
            <w:left w:val="none" w:sz="0" w:space="0" w:color="auto"/>
            <w:bottom w:val="none" w:sz="0" w:space="0" w:color="auto"/>
            <w:right w:val="none" w:sz="0" w:space="0" w:color="auto"/>
          </w:divBdr>
        </w:div>
        <w:div w:id="1977560340">
          <w:marLeft w:val="0"/>
          <w:marRight w:val="0"/>
          <w:marTop w:val="0"/>
          <w:marBottom w:val="0"/>
          <w:divBdr>
            <w:top w:val="none" w:sz="0" w:space="0" w:color="auto"/>
            <w:left w:val="none" w:sz="0" w:space="0" w:color="auto"/>
            <w:bottom w:val="none" w:sz="0" w:space="0" w:color="auto"/>
            <w:right w:val="none" w:sz="0" w:space="0" w:color="auto"/>
          </w:divBdr>
        </w:div>
        <w:div w:id="2061123729">
          <w:marLeft w:val="0"/>
          <w:marRight w:val="0"/>
          <w:marTop w:val="0"/>
          <w:marBottom w:val="0"/>
          <w:divBdr>
            <w:top w:val="none" w:sz="0" w:space="0" w:color="auto"/>
            <w:left w:val="none" w:sz="0" w:space="0" w:color="auto"/>
            <w:bottom w:val="none" w:sz="0" w:space="0" w:color="auto"/>
            <w:right w:val="none" w:sz="0" w:space="0" w:color="auto"/>
          </w:divBdr>
        </w:div>
        <w:div w:id="2062551795">
          <w:marLeft w:val="0"/>
          <w:marRight w:val="0"/>
          <w:marTop w:val="0"/>
          <w:marBottom w:val="0"/>
          <w:divBdr>
            <w:top w:val="none" w:sz="0" w:space="0" w:color="auto"/>
            <w:left w:val="none" w:sz="0" w:space="0" w:color="auto"/>
            <w:bottom w:val="none" w:sz="0" w:space="0" w:color="auto"/>
            <w:right w:val="none" w:sz="0" w:space="0" w:color="auto"/>
          </w:divBdr>
        </w:div>
        <w:div w:id="2125689331">
          <w:marLeft w:val="0"/>
          <w:marRight w:val="0"/>
          <w:marTop w:val="0"/>
          <w:marBottom w:val="0"/>
          <w:divBdr>
            <w:top w:val="none" w:sz="0" w:space="0" w:color="auto"/>
            <w:left w:val="none" w:sz="0" w:space="0" w:color="auto"/>
            <w:bottom w:val="none" w:sz="0" w:space="0" w:color="auto"/>
            <w:right w:val="none" w:sz="0" w:space="0" w:color="auto"/>
          </w:divBdr>
        </w:div>
      </w:divsChild>
    </w:div>
    <w:div w:id="498080377">
      <w:bodyDiv w:val="1"/>
      <w:marLeft w:val="0"/>
      <w:marRight w:val="0"/>
      <w:marTop w:val="0"/>
      <w:marBottom w:val="0"/>
      <w:divBdr>
        <w:top w:val="none" w:sz="0" w:space="0" w:color="auto"/>
        <w:left w:val="none" w:sz="0" w:space="0" w:color="auto"/>
        <w:bottom w:val="none" w:sz="0" w:space="0" w:color="auto"/>
        <w:right w:val="none" w:sz="0" w:space="0" w:color="auto"/>
      </w:divBdr>
      <w:divsChild>
        <w:div w:id="6566216">
          <w:marLeft w:val="0"/>
          <w:marRight w:val="0"/>
          <w:marTop w:val="0"/>
          <w:marBottom w:val="0"/>
          <w:divBdr>
            <w:top w:val="none" w:sz="0" w:space="0" w:color="auto"/>
            <w:left w:val="none" w:sz="0" w:space="0" w:color="auto"/>
            <w:bottom w:val="none" w:sz="0" w:space="0" w:color="auto"/>
            <w:right w:val="none" w:sz="0" w:space="0" w:color="auto"/>
          </w:divBdr>
          <w:divsChild>
            <w:div w:id="37900425">
              <w:marLeft w:val="0"/>
              <w:marRight w:val="0"/>
              <w:marTop w:val="0"/>
              <w:marBottom w:val="0"/>
              <w:divBdr>
                <w:top w:val="none" w:sz="0" w:space="0" w:color="auto"/>
                <w:left w:val="none" w:sz="0" w:space="0" w:color="auto"/>
                <w:bottom w:val="none" w:sz="0" w:space="0" w:color="auto"/>
                <w:right w:val="none" w:sz="0" w:space="0" w:color="auto"/>
              </w:divBdr>
            </w:div>
            <w:div w:id="260064130">
              <w:marLeft w:val="0"/>
              <w:marRight w:val="0"/>
              <w:marTop w:val="0"/>
              <w:marBottom w:val="0"/>
              <w:divBdr>
                <w:top w:val="none" w:sz="0" w:space="0" w:color="auto"/>
                <w:left w:val="none" w:sz="0" w:space="0" w:color="auto"/>
                <w:bottom w:val="none" w:sz="0" w:space="0" w:color="auto"/>
                <w:right w:val="none" w:sz="0" w:space="0" w:color="auto"/>
              </w:divBdr>
            </w:div>
            <w:div w:id="666205012">
              <w:marLeft w:val="0"/>
              <w:marRight w:val="0"/>
              <w:marTop w:val="0"/>
              <w:marBottom w:val="0"/>
              <w:divBdr>
                <w:top w:val="none" w:sz="0" w:space="0" w:color="auto"/>
                <w:left w:val="none" w:sz="0" w:space="0" w:color="auto"/>
                <w:bottom w:val="none" w:sz="0" w:space="0" w:color="auto"/>
                <w:right w:val="none" w:sz="0" w:space="0" w:color="auto"/>
              </w:divBdr>
            </w:div>
            <w:div w:id="704671124">
              <w:marLeft w:val="0"/>
              <w:marRight w:val="0"/>
              <w:marTop w:val="0"/>
              <w:marBottom w:val="0"/>
              <w:divBdr>
                <w:top w:val="none" w:sz="0" w:space="0" w:color="auto"/>
                <w:left w:val="none" w:sz="0" w:space="0" w:color="auto"/>
                <w:bottom w:val="none" w:sz="0" w:space="0" w:color="auto"/>
                <w:right w:val="none" w:sz="0" w:space="0" w:color="auto"/>
              </w:divBdr>
            </w:div>
            <w:div w:id="749935495">
              <w:marLeft w:val="0"/>
              <w:marRight w:val="0"/>
              <w:marTop w:val="0"/>
              <w:marBottom w:val="0"/>
              <w:divBdr>
                <w:top w:val="none" w:sz="0" w:space="0" w:color="auto"/>
                <w:left w:val="none" w:sz="0" w:space="0" w:color="auto"/>
                <w:bottom w:val="none" w:sz="0" w:space="0" w:color="auto"/>
                <w:right w:val="none" w:sz="0" w:space="0" w:color="auto"/>
              </w:divBdr>
            </w:div>
            <w:div w:id="792091409">
              <w:marLeft w:val="0"/>
              <w:marRight w:val="0"/>
              <w:marTop w:val="0"/>
              <w:marBottom w:val="0"/>
              <w:divBdr>
                <w:top w:val="none" w:sz="0" w:space="0" w:color="auto"/>
                <w:left w:val="none" w:sz="0" w:space="0" w:color="auto"/>
                <w:bottom w:val="none" w:sz="0" w:space="0" w:color="auto"/>
                <w:right w:val="none" w:sz="0" w:space="0" w:color="auto"/>
              </w:divBdr>
            </w:div>
            <w:div w:id="982581528">
              <w:marLeft w:val="0"/>
              <w:marRight w:val="0"/>
              <w:marTop w:val="0"/>
              <w:marBottom w:val="0"/>
              <w:divBdr>
                <w:top w:val="none" w:sz="0" w:space="0" w:color="auto"/>
                <w:left w:val="none" w:sz="0" w:space="0" w:color="auto"/>
                <w:bottom w:val="none" w:sz="0" w:space="0" w:color="auto"/>
                <w:right w:val="none" w:sz="0" w:space="0" w:color="auto"/>
              </w:divBdr>
            </w:div>
            <w:div w:id="994602692">
              <w:marLeft w:val="0"/>
              <w:marRight w:val="0"/>
              <w:marTop w:val="0"/>
              <w:marBottom w:val="0"/>
              <w:divBdr>
                <w:top w:val="none" w:sz="0" w:space="0" w:color="auto"/>
                <w:left w:val="none" w:sz="0" w:space="0" w:color="auto"/>
                <w:bottom w:val="none" w:sz="0" w:space="0" w:color="auto"/>
                <w:right w:val="none" w:sz="0" w:space="0" w:color="auto"/>
              </w:divBdr>
            </w:div>
            <w:div w:id="1064645410">
              <w:marLeft w:val="0"/>
              <w:marRight w:val="0"/>
              <w:marTop w:val="0"/>
              <w:marBottom w:val="0"/>
              <w:divBdr>
                <w:top w:val="none" w:sz="0" w:space="0" w:color="auto"/>
                <w:left w:val="none" w:sz="0" w:space="0" w:color="auto"/>
                <w:bottom w:val="none" w:sz="0" w:space="0" w:color="auto"/>
                <w:right w:val="none" w:sz="0" w:space="0" w:color="auto"/>
              </w:divBdr>
            </w:div>
            <w:div w:id="1076975088">
              <w:marLeft w:val="0"/>
              <w:marRight w:val="0"/>
              <w:marTop w:val="0"/>
              <w:marBottom w:val="0"/>
              <w:divBdr>
                <w:top w:val="none" w:sz="0" w:space="0" w:color="auto"/>
                <w:left w:val="none" w:sz="0" w:space="0" w:color="auto"/>
                <w:bottom w:val="none" w:sz="0" w:space="0" w:color="auto"/>
                <w:right w:val="none" w:sz="0" w:space="0" w:color="auto"/>
              </w:divBdr>
            </w:div>
            <w:div w:id="1165392013">
              <w:marLeft w:val="0"/>
              <w:marRight w:val="0"/>
              <w:marTop w:val="0"/>
              <w:marBottom w:val="0"/>
              <w:divBdr>
                <w:top w:val="none" w:sz="0" w:space="0" w:color="auto"/>
                <w:left w:val="none" w:sz="0" w:space="0" w:color="auto"/>
                <w:bottom w:val="none" w:sz="0" w:space="0" w:color="auto"/>
                <w:right w:val="none" w:sz="0" w:space="0" w:color="auto"/>
              </w:divBdr>
            </w:div>
            <w:div w:id="1321080095">
              <w:marLeft w:val="0"/>
              <w:marRight w:val="0"/>
              <w:marTop w:val="0"/>
              <w:marBottom w:val="0"/>
              <w:divBdr>
                <w:top w:val="none" w:sz="0" w:space="0" w:color="auto"/>
                <w:left w:val="none" w:sz="0" w:space="0" w:color="auto"/>
                <w:bottom w:val="none" w:sz="0" w:space="0" w:color="auto"/>
                <w:right w:val="none" w:sz="0" w:space="0" w:color="auto"/>
              </w:divBdr>
            </w:div>
            <w:div w:id="1403793526">
              <w:marLeft w:val="0"/>
              <w:marRight w:val="0"/>
              <w:marTop w:val="0"/>
              <w:marBottom w:val="0"/>
              <w:divBdr>
                <w:top w:val="none" w:sz="0" w:space="0" w:color="auto"/>
                <w:left w:val="none" w:sz="0" w:space="0" w:color="auto"/>
                <w:bottom w:val="none" w:sz="0" w:space="0" w:color="auto"/>
                <w:right w:val="none" w:sz="0" w:space="0" w:color="auto"/>
              </w:divBdr>
            </w:div>
            <w:div w:id="1495102344">
              <w:marLeft w:val="0"/>
              <w:marRight w:val="0"/>
              <w:marTop w:val="0"/>
              <w:marBottom w:val="0"/>
              <w:divBdr>
                <w:top w:val="none" w:sz="0" w:space="0" w:color="auto"/>
                <w:left w:val="none" w:sz="0" w:space="0" w:color="auto"/>
                <w:bottom w:val="none" w:sz="0" w:space="0" w:color="auto"/>
                <w:right w:val="none" w:sz="0" w:space="0" w:color="auto"/>
              </w:divBdr>
            </w:div>
            <w:div w:id="1570187471">
              <w:marLeft w:val="0"/>
              <w:marRight w:val="0"/>
              <w:marTop w:val="0"/>
              <w:marBottom w:val="0"/>
              <w:divBdr>
                <w:top w:val="none" w:sz="0" w:space="0" w:color="auto"/>
                <w:left w:val="none" w:sz="0" w:space="0" w:color="auto"/>
                <w:bottom w:val="none" w:sz="0" w:space="0" w:color="auto"/>
                <w:right w:val="none" w:sz="0" w:space="0" w:color="auto"/>
              </w:divBdr>
            </w:div>
            <w:div w:id="1914659242">
              <w:marLeft w:val="0"/>
              <w:marRight w:val="0"/>
              <w:marTop w:val="0"/>
              <w:marBottom w:val="0"/>
              <w:divBdr>
                <w:top w:val="none" w:sz="0" w:space="0" w:color="auto"/>
                <w:left w:val="none" w:sz="0" w:space="0" w:color="auto"/>
                <w:bottom w:val="none" w:sz="0" w:space="0" w:color="auto"/>
                <w:right w:val="none" w:sz="0" w:space="0" w:color="auto"/>
              </w:divBdr>
            </w:div>
            <w:div w:id="1964994654">
              <w:marLeft w:val="0"/>
              <w:marRight w:val="0"/>
              <w:marTop w:val="0"/>
              <w:marBottom w:val="0"/>
              <w:divBdr>
                <w:top w:val="none" w:sz="0" w:space="0" w:color="auto"/>
                <w:left w:val="none" w:sz="0" w:space="0" w:color="auto"/>
                <w:bottom w:val="none" w:sz="0" w:space="0" w:color="auto"/>
                <w:right w:val="none" w:sz="0" w:space="0" w:color="auto"/>
              </w:divBdr>
            </w:div>
            <w:div w:id="20379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7895">
      <w:bodyDiv w:val="1"/>
      <w:marLeft w:val="0"/>
      <w:marRight w:val="0"/>
      <w:marTop w:val="0"/>
      <w:marBottom w:val="0"/>
      <w:divBdr>
        <w:top w:val="none" w:sz="0" w:space="0" w:color="auto"/>
        <w:left w:val="none" w:sz="0" w:space="0" w:color="auto"/>
        <w:bottom w:val="none" w:sz="0" w:space="0" w:color="auto"/>
        <w:right w:val="none" w:sz="0" w:space="0" w:color="auto"/>
      </w:divBdr>
    </w:div>
    <w:div w:id="529881536">
      <w:bodyDiv w:val="1"/>
      <w:marLeft w:val="0"/>
      <w:marRight w:val="0"/>
      <w:marTop w:val="0"/>
      <w:marBottom w:val="0"/>
      <w:divBdr>
        <w:top w:val="none" w:sz="0" w:space="0" w:color="auto"/>
        <w:left w:val="none" w:sz="0" w:space="0" w:color="auto"/>
        <w:bottom w:val="none" w:sz="0" w:space="0" w:color="auto"/>
        <w:right w:val="none" w:sz="0" w:space="0" w:color="auto"/>
      </w:divBdr>
    </w:div>
    <w:div w:id="532110857">
      <w:bodyDiv w:val="1"/>
      <w:marLeft w:val="0"/>
      <w:marRight w:val="0"/>
      <w:marTop w:val="0"/>
      <w:marBottom w:val="0"/>
      <w:divBdr>
        <w:top w:val="none" w:sz="0" w:space="0" w:color="auto"/>
        <w:left w:val="none" w:sz="0" w:space="0" w:color="auto"/>
        <w:bottom w:val="none" w:sz="0" w:space="0" w:color="auto"/>
        <w:right w:val="none" w:sz="0" w:space="0" w:color="auto"/>
      </w:divBdr>
      <w:divsChild>
        <w:div w:id="211307106">
          <w:marLeft w:val="0"/>
          <w:marRight w:val="0"/>
          <w:marTop w:val="0"/>
          <w:marBottom w:val="0"/>
          <w:divBdr>
            <w:top w:val="none" w:sz="0" w:space="0" w:color="auto"/>
            <w:left w:val="none" w:sz="0" w:space="0" w:color="auto"/>
            <w:bottom w:val="none" w:sz="0" w:space="0" w:color="auto"/>
            <w:right w:val="none" w:sz="0" w:space="0" w:color="auto"/>
          </w:divBdr>
        </w:div>
      </w:divsChild>
    </w:div>
    <w:div w:id="532226875">
      <w:bodyDiv w:val="1"/>
      <w:marLeft w:val="0"/>
      <w:marRight w:val="0"/>
      <w:marTop w:val="0"/>
      <w:marBottom w:val="0"/>
      <w:divBdr>
        <w:top w:val="none" w:sz="0" w:space="0" w:color="auto"/>
        <w:left w:val="none" w:sz="0" w:space="0" w:color="auto"/>
        <w:bottom w:val="none" w:sz="0" w:space="0" w:color="auto"/>
        <w:right w:val="none" w:sz="0" w:space="0" w:color="auto"/>
      </w:divBdr>
      <w:divsChild>
        <w:div w:id="12462322">
          <w:marLeft w:val="0"/>
          <w:marRight w:val="0"/>
          <w:marTop w:val="0"/>
          <w:marBottom w:val="0"/>
          <w:divBdr>
            <w:top w:val="none" w:sz="0" w:space="0" w:color="auto"/>
            <w:left w:val="none" w:sz="0" w:space="0" w:color="auto"/>
            <w:bottom w:val="none" w:sz="0" w:space="0" w:color="auto"/>
            <w:right w:val="none" w:sz="0" w:space="0" w:color="auto"/>
          </w:divBdr>
        </w:div>
        <w:div w:id="57023855">
          <w:marLeft w:val="0"/>
          <w:marRight w:val="0"/>
          <w:marTop w:val="0"/>
          <w:marBottom w:val="0"/>
          <w:divBdr>
            <w:top w:val="none" w:sz="0" w:space="0" w:color="auto"/>
            <w:left w:val="none" w:sz="0" w:space="0" w:color="auto"/>
            <w:bottom w:val="none" w:sz="0" w:space="0" w:color="auto"/>
            <w:right w:val="none" w:sz="0" w:space="0" w:color="auto"/>
          </w:divBdr>
        </w:div>
        <w:div w:id="81343732">
          <w:marLeft w:val="0"/>
          <w:marRight w:val="0"/>
          <w:marTop w:val="0"/>
          <w:marBottom w:val="0"/>
          <w:divBdr>
            <w:top w:val="none" w:sz="0" w:space="0" w:color="auto"/>
            <w:left w:val="none" w:sz="0" w:space="0" w:color="auto"/>
            <w:bottom w:val="none" w:sz="0" w:space="0" w:color="auto"/>
            <w:right w:val="none" w:sz="0" w:space="0" w:color="auto"/>
          </w:divBdr>
        </w:div>
        <w:div w:id="82385206">
          <w:marLeft w:val="0"/>
          <w:marRight w:val="0"/>
          <w:marTop w:val="0"/>
          <w:marBottom w:val="0"/>
          <w:divBdr>
            <w:top w:val="none" w:sz="0" w:space="0" w:color="auto"/>
            <w:left w:val="none" w:sz="0" w:space="0" w:color="auto"/>
            <w:bottom w:val="none" w:sz="0" w:space="0" w:color="auto"/>
            <w:right w:val="none" w:sz="0" w:space="0" w:color="auto"/>
          </w:divBdr>
        </w:div>
        <w:div w:id="86049680">
          <w:marLeft w:val="0"/>
          <w:marRight w:val="0"/>
          <w:marTop w:val="0"/>
          <w:marBottom w:val="0"/>
          <w:divBdr>
            <w:top w:val="none" w:sz="0" w:space="0" w:color="auto"/>
            <w:left w:val="none" w:sz="0" w:space="0" w:color="auto"/>
            <w:bottom w:val="none" w:sz="0" w:space="0" w:color="auto"/>
            <w:right w:val="none" w:sz="0" w:space="0" w:color="auto"/>
          </w:divBdr>
        </w:div>
        <w:div w:id="176193520">
          <w:marLeft w:val="0"/>
          <w:marRight w:val="0"/>
          <w:marTop w:val="0"/>
          <w:marBottom w:val="0"/>
          <w:divBdr>
            <w:top w:val="none" w:sz="0" w:space="0" w:color="auto"/>
            <w:left w:val="none" w:sz="0" w:space="0" w:color="auto"/>
            <w:bottom w:val="none" w:sz="0" w:space="0" w:color="auto"/>
            <w:right w:val="none" w:sz="0" w:space="0" w:color="auto"/>
          </w:divBdr>
        </w:div>
        <w:div w:id="186797302">
          <w:marLeft w:val="0"/>
          <w:marRight w:val="0"/>
          <w:marTop w:val="0"/>
          <w:marBottom w:val="0"/>
          <w:divBdr>
            <w:top w:val="none" w:sz="0" w:space="0" w:color="auto"/>
            <w:left w:val="none" w:sz="0" w:space="0" w:color="auto"/>
            <w:bottom w:val="none" w:sz="0" w:space="0" w:color="auto"/>
            <w:right w:val="none" w:sz="0" w:space="0" w:color="auto"/>
          </w:divBdr>
        </w:div>
        <w:div w:id="243420759">
          <w:marLeft w:val="0"/>
          <w:marRight w:val="0"/>
          <w:marTop w:val="0"/>
          <w:marBottom w:val="0"/>
          <w:divBdr>
            <w:top w:val="none" w:sz="0" w:space="0" w:color="auto"/>
            <w:left w:val="none" w:sz="0" w:space="0" w:color="auto"/>
            <w:bottom w:val="none" w:sz="0" w:space="0" w:color="auto"/>
            <w:right w:val="none" w:sz="0" w:space="0" w:color="auto"/>
          </w:divBdr>
        </w:div>
        <w:div w:id="256377519">
          <w:marLeft w:val="0"/>
          <w:marRight w:val="0"/>
          <w:marTop w:val="0"/>
          <w:marBottom w:val="0"/>
          <w:divBdr>
            <w:top w:val="none" w:sz="0" w:space="0" w:color="auto"/>
            <w:left w:val="none" w:sz="0" w:space="0" w:color="auto"/>
            <w:bottom w:val="none" w:sz="0" w:space="0" w:color="auto"/>
            <w:right w:val="none" w:sz="0" w:space="0" w:color="auto"/>
          </w:divBdr>
        </w:div>
        <w:div w:id="275524412">
          <w:marLeft w:val="0"/>
          <w:marRight w:val="0"/>
          <w:marTop w:val="0"/>
          <w:marBottom w:val="0"/>
          <w:divBdr>
            <w:top w:val="none" w:sz="0" w:space="0" w:color="auto"/>
            <w:left w:val="none" w:sz="0" w:space="0" w:color="auto"/>
            <w:bottom w:val="none" w:sz="0" w:space="0" w:color="auto"/>
            <w:right w:val="none" w:sz="0" w:space="0" w:color="auto"/>
          </w:divBdr>
        </w:div>
        <w:div w:id="381248465">
          <w:marLeft w:val="0"/>
          <w:marRight w:val="0"/>
          <w:marTop w:val="0"/>
          <w:marBottom w:val="0"/>
          <w:divBdr>
            <w:top w:val="none" w:sz="0" w:space="0" w:color="auto"/>
            <w:left w:val="none" w:sz="0" w:space="0" w:color="auto"/>
            <w:bottom w:val="none" w:sz="0" w:space="0" w:color="auto"/>
            <w:right w:val="none" w:sz="0" w:space="0" w:color="auto"/>
          </w:divBdr>
        </w:div>
        <w:div w:id="604313412">
          <w:marLeft w:val="0"/>
          <w:marRight w:val="0"/>
          <w:marTop w:val="0"/>
          <w:marBottom w:val="0"/>
          <w:divBdr>
            <w:top w:val="none" w:sz="0" w:space="0" w:color="auto"/>
            <w:left w:val="none" w:sz="0" w:space="0" w:color="auto"/>
            <w:bottom w:val="none" w:sz="0" w:space="0" w:color="auto"/>
            <w:right w:val="none" w:sz="0" w:space="0" w:color="auto"/>
          </w:divBdr>
        </w:div>
        <w:div w:id="628897624">
          <w:marLeft w:val="0"/>
          <w:marRight w:val="0"/>
          <w:marTop w:val="0"/>
          <w:marBottom w:val="0"/>
          <w:divBdr>
            <w:top w:val="none" w:sz="0" w:space="0" w:color="auto"/>
            <w:left w:val="none" w:sz="0" w:space="0" w:color="auto"/>
            <w:bottom w:val="none" w:sz="0" w:space="0" w:color="auto"/>
            <w:right w:val="none" w:sz="0" w:space="0" w:color="auto"/>
          </w:divBdr>
        </w:div>
        <w:div w:id="770971454">
          <w:marLeft w:val="0"/>
          <w:marRight w:val="0"/>
          <w:marTop w:val="0"/>
          <w:marBottom w:val="0"/>
          <w:divBdr>
            <w:top w:val="none" w:sz="0" w:space="0" w:color="auto"/>
            <w:left w:val="none" w:sz="0" w:space="0" w:color="auto"/>
            <w:bottom w:val="none" w:sz="0" w:space="0" w:color="auto"/>
            <w:right w:val="none" w:sz="0" w:space="0" w:color="auto"/>
          </w:divBdr>
        </w:div>
        <w:div w:id="829324021">
          <w:marLeft w:val="0"/>
          <w:marRight w:val="0"/>
          <w:marTop w:val="0"/>
          <w:marBottom w:val="0"/>
          <w:divBdr>
            <w:top w:val="none" w:sz="0" w:space="0" w:color="auto"/>
            <w:left w:val="none" w:sz="0" w:space="0" w:color="auto"/>
            <w:bottom w:val="none" w:sz="0" w:space="0" w:color="auto"/>
            <w:right w:val="none" w:sz="0" w:space="0" w:color="auto"/>
          </w:divBdr>
        </w:div>
        <w:div w:id="862286116">
          <w:marLeft w:val="0"/>
          <w:marRight w:val="0"/>
          <w:marTop w:val="0"/>
          <w:marBottom w:val="0"/>
          <w:divBdr>
            <w:top w:val="none" w:sz="0" w:space="0" w:color="auto"/>
            <w:left w:val="none" w:sz="0" w:space="0" w:color="auto"/>
            <w:bottom w:val="none" w:sz="0" w:space="0" w:color="auto"/>
            <w:right w:val="none" w:sz="0" w:space="0" w:color="auto"/>
          </w:divBdr>
        </w:div>
        <w:div w:id="892041571">
          <w:marLeft w:val="0"/>
          <w:marRight w:val="0"/>
          <w:marTop w:val="0"/>
          <w:marBottom w:val="0"/>
          <w:divBdr>
            <w:top w:val="none" w:sz="0" w:space="0" w:color="auto"/>
            <w:left w:val="none" w:sz="0" w:space="0" w:color="auto"/>
            <w:bottom w:val="none" w:sz="0" w:space="0" w:color="auto"/>
            <w:right w:val="none" w:sz="0" w:space="0" w:color="auto"/>
          </w:divBdr>
        </w:div>
        <w:div w:id="923759466">
          <w:marLeft w:val="0"/>
          <w:marRight w:val="0"/>
          <w:marTop w:val="0"/>
          <w:marBottom w:val="0"/>
          <w:divBdr>
            <w:top w:val="none" w:sz="0" w:space="0" w:color="auto"/>
            <w:left w:val="none" w:sz="0" w:space="0" w:color="auto"/>
            <w:bottom w:val="none" w:sz="0" w:space="0" w:color="auto"/>
            <w:right w:val="none" w:sz="0" w:space="0" w:color="auto"/>
          </w:divBdr>
        </w:div>
        <w:div w:id="959341415">
          <w:marLeft w:val="0"/>
          <w:marRight w:val="0"/>
          <w:marTop w:val="0"/>
          <w:marBottom w:val="0"/>
          <w:divBdr>
            <w:top w:val="none" w:sz="0" w:space="0" w:color="auto"/>
            <w:left w:val="none" w:sz="0" w:space="0" w:color="auto"/>
            <w:bottom w:val="none" w:sz="0" w:space="0" w:color="auto"/>
            <w:right w:val="none" w:sz="0" w:space="0" w:color="auto"/>
          </w:divBdr>
        </w:div>
        <w:div w:id="1519586325">
          <w:marLeft w:val="0"/>
          <w:marRight w:val="0"/>
          <w:marTop w:val="0"/>
          <w:marBottom w:val="0"/>
          <w:divBdr>
            <w:top w:val="none" w:sz="0" w:space="0" w:color="auto"/>
            <w:left w:val="none" w:sz="0" w:space="0" w:color="auto"/>
            <w:bottom w:val="none" w:sz="0" w:space="0" w:color="auto"/>
            <w:right w:val="none" w:sz="0" w:space="0" w:color="auto"/>
          </w:divBdr>
        </w:div>
        <w:div w:id="1583176507">
          <w:marLeft w:val="0"/>
          <w:marRight w:val="0"/>
          <w:marTop w:val="0"/>
          <w:marBottom w:val="0"/>
          <w:divBdr>
            <w:top w:val="none" w:sz="0" w:space="0" w:color="auto"/>
            <w:left w:val="none" w:sz="0" w:space="0" w:color="auto"/>
            <w:bottom w:val="none" w:sz="0" w:space="0" w:color="auto"/>
            <w:right w:val="none" w:sz="0" w:space="0" w:color="auto"/>
          </w:divBdr>
        </w:div>
        <w:div w:id="1639191517">
          <w:marLeft w:val="0"/>
          <w:marRight w:val="0"/>
          <w:marTop w:val="0"/>
          <w:marBottom w:val="0"/>
          <w:divBdr>
            <w:top w:val="none" w:sz="0" w:space="0" w:color="auto"/>
            <w:left w:val="none" w:sz="0" w:space="0" w:color="auto"/>
            <w:bottom w:val="none" w:sz="0" w:space="0" w:color="auto"/>
            <w:right w:val="none" w:sz="0" w:space="0" w:color="auto"/>
          </w:divBdr>
        </w:div>
        <w:div w:id="2076320946">
          <w:marLeft w:val="0"/>
          <w:marRight w:val="0"/>
          <w:marTop w:val="0"/>
          <w:marBottom w:val="0"/>
          <w:divBdr>
            <w:top w:val="none" w:sz="0" w:space="0" w:color="auto"/>
            <w:left w:val="none" w:sz="0" w:space="0" w:color="auto"/>
            <w:bottom w:val="none" w:sz="0" w:space="0" w:color="auto"/>
            <w:right w:val="none" w:sz="0" w:space="0" w:color="auto"/>
          </w:divBdr>
        </w:div>
      </w:divsChild>
    </w:div>
    <w:div w:id="547955477">
      <w:bodyDiv w:val="1"/>
      <w:marLeft w:val="0"/>
      <w:marRight w:val="0"/>
      <w:marTop w:val="0"/>
      <w:marBottom w:val="0"/>
      <w:divBdr>
        <w:top w:val="none" w:sz="0" w:space="0" w:color="auto"/>
        <w:left w:val="none" w:sz="0" w:space="0" w:color="auto"/>
        <w:bottom w:val="none" w:sz="0" w:space="0" w:color="auto"/>
        <w:right w:val="none" w:sz="0" w:space="0" w:color="auto"/>
      </w:divBdr>
      <w:divsChild>
        <w:div w:id="569385580">
          <w:marLeft w:val="0"/>
          <w:marRight w:val="0"/>
          <w:marTop w:val="0"/>
          <w:marBottom w:val="0"/>
          <w:divBdr>
            <w:top w:val="none" w:sz="0" w:space="0" w:color="auto"/>
            <w:left w:val="none" w:sz="0" w:space="0" w:color="auto"/>
            <w:bottom w:val="none" w:sz="0" w:space="0" w:color="auto"/>
            <w:right w:val="none" w:sz="0" w:space="0" w:color="auto"/>
          </w:divBdr>
          <w:divsChild>
            <w:div w:id="20237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062772">
      <w:bodyDiv w:val="1"/>
      <w:marLeft w:val="0"/>
      <w:marRight w:val="0"/>
      <w:marTop w:val="0"/>
      <w:marBottom w:val="0"/>
      <w:divBdr>
        <w:top w:val="none" w:sz="0" w:space="0" w:color="auto"/>
        <w:left w:val="none" w:sz="0" w:space="0" w:color="auto"/>
        <w:bottom w:val="none" w:sz="0" w:space="0" w:color="auto"/>
        <w:right w:val="none" w:sz="0" w:space="0" w:color="auto"/>
      </w:divBdr>
      <w:divsChild>
        <w:div w:id="14549377">
          <w:marLeft w:val="0"/>
          <w:marRight w:val="0"/>
          <w:marTop w:val="0"/>
          <w:marBottom w:val="0"/>
          <w:divBdr>
            <w:top w:val="none" w:sz="0" w:space="0" w:color="auto"/>
            <w:left w:val="none" w:sz="0" w:space="0" w:color="auto"/>
            <w:bottom w:val="none" w:sz="0" w:space="0" w:color="auto"/>
            <w:right w:val="none" w:sz="0" w:space="0" w:color="auto"/>
          </w:divBdr>
        </w:div>
        <w:div w:id="113521899">
          <w:marLeft w:val="0"/>
          <w:marRight w:val="0"/>
          <w:marTop w:val="0"/>
          <w:marBottom w:val="0"/>
          <w:divBdr>
            <w:top w:val="none" w:sz="0" w:space="0" w:color="auto"/>
            <w:left w:val="none" w:sz="0" w:space="0" w:color="auto"/>
            <w:bottom w:val="none" w:sz="0" w:space="0" w:color="auto"/>
            <w:right w:val="none" w:sz="0" w:space="0" w:color="auto"/>
          </w:divBdr>
        </w:div>
        <w:div w:id="115415019">
          <w:marLeft w:val="0"/>
          <w:marRight w:val="0"/>
          <w:marTop w:val="0"/>
          <w:marBottom w:val="0"/>
          <w:divBdr>
            <w:top w:val="none" w:sz="0" w:space="0" w:color="auto"/>
            <w:left w:val="none" w:sz="0" w:space="0" w:color="auto"/>
            <w:bottom w:val="none" w:sz="0" w:space="0" w:color="auto"/>
            <w:right w:val="none" w:sz="0" w:space="0" w:color="auto"/>
          </w:divBdr>
        </w:div>
        <w:div w:id="277877056">
          <w:marLeft w:val="0"/>
          <w:marRight w:val="0"/>
          <w:marTop w:val="0"/>
          <w:marBottom w:val="0"/>
          <w:divBdr>
            <w:top w:val="none" w:sz="0" w:space="0" w:color="auto"/>
            <w:left w:val="none" w:sz="0" w:space="0" w:color="auto"/>
            <w:bottom w:val="none" w:sz="0" w:space="0" w:color="auto"/>
            <w:right w:val="none" w:sz="0" w:space="0" w:color="auto"/>
          </w:divBdr>
        </w:div>
        <w:div w:id="280263241">
          <w:marLeft w:val="0"/>
          <w:marRight w:val="0"/>
          <w:marTop w:val="0"/>
          <w:marBottom w:val="0"/>
          <w:divBdr>
            <w:top w:val="none" w:sz="0" w:space="0" w:color="auto"/>
            <w:left w:val="none" w:sz="0" w:space="0" w:color="auto"/>
            <w:bottom w:val="none" w:sz="0" w:space="0" w:color="auto"/>
            <w:right w:val="none" w:sz="0" w:space="0" w:color="auto"/>
          </w:divBdr>
        </w:div>
        <w:div w:id="287472418">
          <w:marLeft w:val="0"/>
          <w:marRight w:val="0"/>
          <w:marTop w:val="0"/>
          <w:marBottom w:val="0"/>
          <w:divBdr>
            <w:top w:val="none" w:sz="0" w:space="0" w:color="auto"/>
            <w:left w:val="none" w:sz="0" w:space="0" w:color="auto"/>
            <w:bottom w:val="none" w:sz="0" w:space="0" w:color="auto"/>
            <w:right w:val="none" w:sz="0" w:space="0" w:color="auto"/>
          </w:divBdr>
        </w:div>
        <w:div w:id="492259165">
          <w:marLeft w:val="0"/>
          <w:marRight w:val="0"/>
          <w:marTop w:val="0"/>
          <w:marBottom w:val="0"/>
          <w:divBdr>
            <w:top w:val="none" w:sz="0" w:space="0" w:color="auto"/>
            <w:left w:val="none" w:sz="0" w:space="0" w:color="auto"/>
            <w:bottom w:val="none" w:sz="0" w:space="0" w:color="auto"/>
            <w:right w:val="none" w:sz="0" w:space="0" w:color="auto"/>
          </w:divBdr>
        </w:div>
        <w:div w:id="547839064">
          <w:marLeft w:val="0"/>
          <w:marRight w:val="0"/>
          <w:marTop w:val="0"/>
          <w:marBottom w:val="0"/>
          <w:divBdr>
            <w:top w:val="none" w:sz="0" w:space="0" w:color="auto"/>
            <w:left w:val="none" w:sz="0" w:space="0" w:color="auto"/>
            <w:bottom w:val="none" w:sz="0" w:space="0" w:color="auto"/>
            <w:right w:val="none" w:sz="0" w:space="0" w:color="auto"/>
          </w:divBdr>
        </w:div>
        <w:div w:id="632053230">
          <w:marLeft w:val="0"/>
          <w:marRight w:val="0"/>
          <w:marTop w:val="0"/>
          <w:marBottom w:val="0"/>
          <w:divBdr>
            <w:top w:val="none" w:sz="0" w:space="0" w:color="auto"/>
            <w:left w:val="none" w:sz="0" w:space="0" w:color="auto"/>
            <w:bottom w:val="none" w:sz="0" w:space="0" w:color="auto"/>
            <w:right w:val="none" w:sz="0" w:space="0" w:color="auto"/>
          </w:divBdr>
        </w:div>
        <w:div w:id="886800046">
          <w:marLeft w:val="0"/>
          <w:marRight w:val="0"/>
          <w:marTop w:val="0"/>
          <w:marBottom w:val="0"/>
          <w:divBdr>
            <w:top w:val="none" w:sz="0" w:space="0" w:color="auto"/>
            <w:left w:val="none" w:sz="0" w:space="0" w:color="auto"/>
            <w:bottom w:val="none" w:sz="0" w:space="0" w:color="auto"/>
            <w:right w:val="none" w:sz="0" w:space="0" w:color="auto"/>
          </w:divBdr>
        </w:div>
        <w:div w:id="946733724">
          <w:marLeft w:val="0"/>
          <w:marRight w:val="0"/>
          <w:marTop w:val="0"/>
          <w:marBottom w:val="0"/>
          <w:divBdr>
            <w:top w:val="none" w:sz="0" w:space="0" w:color="auto"/>
            <w:left w:val="none" w:sz="0" w:space="0" w:color="auto"/>
            <w:bottom w:val="none" w:sz="0" w:space="0" w:color="auto"/>
            <w:right w:val="none" w:sz="0" w:space="0" w:color="auto"/>
          </w:divBdr>
        </w:div>
        <w:div w:id="1022897804">
          <w:marLeft w:val="0"/>
          <w:marRight w:val="0"/>
          <w:marTop w:val="0"/>
          <w:marBottom w:val="0"/>
          <w:divBdr>
            <w:top w:val="none" w:sz="0" w:space="0" w:color="auto"/>
            <w:left w:val="none" w:sz="0" w:space="0" w:color="auto"/>
            <w:bottom w:val="none" w:sz="0" w:space="0" w:color="auto"/>
            <w:right w:val="none" w:sz="0" w:space="0" w:color="auto"/>
          </w:divBdr>
        </w:div>
        <w:div w:id="1034695619">
          <w:marLeft w:val="0"/>
          <w:marRight w:val="0"/>
          <w:marTop w:val="0"/>
          <w:marBottom w:val="0"/>
          <w:divBdr>
            <w:top w:val="none" w:sz="0" w:space="0" w:color="auto"/>
            <w:left w:val="none" w:sz="0" w:space="0" w:color="auto"/>
            <w:bottom w:val="none" w:sz="0" w:space="0" w:color="auto"/>
            <w:right w:val="none" w:sz="0" w:space="0" w:color="auto"/>
          </w:divBdr>
        </w:div>
        <w:div w:id="1126703878">
          <w:marLeft w:val="0"/>
          <w:marRight w:val="0"/>
          <w:marTop w:val="0"/>
          <w:marBottom w:val="0"/>
          <w:divBdr>
            <w:top w:val="none" w:sz="0" w:space="0" w:color="auto"/>
            <w:left w:val="none" w:sz="0" w:space="0" w:color="auto"/>
            <w:bottom w:val="none" w:sz="0" w:space="0" w:color="auto"/>
            <w:right w:val="none" w:sz="0" w:space="0" w:color="auto"/>
          </w:divBdr>
        </w:div>
        <w:div w:id="1164710499">
          <w:marLeft w:val="0"/>
          <w:marRight w:val="0"/>
          <w:marTop w:val="0"/>
          <w:marBottom w:val="0"/>
          <w:divBdr>
            <w:top w:val="none" w:sz="0" w:space="0" w:color="auto"/>
            <w:left w:val="none" w:sz="0" w:space="0" w:color="auto"/>
            <w:bottom w:val="none" w:sz="0" w:space="0" w:color="auto"/>
            <w:right w:val="none" w:sz="0" w:space="0" w:color="auto"/>
          </w:divBdr>
        </w:div>
        <w:div w:id="1165510056">
          <w:marLeft w:val="0"/>
          <w:marRight w:val="0"/>
          <w:marTop w:val="0"/>
          <w:marBottom w:val="0"/>
          <w:divBdr>
            <w:top w:val="none" w:sz="0" w:space="0" w:color="auto"/>
            <w:left w:val="none" w:sz="0" w:space="0" w:color="auto"/>
            <w:bottom w:val="none" w:sz="0" w:space="0" w:color="auto"/>
            <w:right w:val="none" w:sz="0" w:space="0" w:color="auto"/>
          </w:divBdr>
        </w:div>
        <w:div w:id="1346250742">
          <w:marLeft w:val="0"/>
          <w:marRight w:val="0"/>
          <w:marTop w:val="0"/>
          <w:marBottom w:val="0"/>
          <w:divBdr>
            <w:top w:val="none" w:sz="0" w:space="0" w:color="auto"/>
            <w:left w:val="none" w:sz="0" w:space="0" w:color="auto"/>
            <w:bottom w:val="none" w:sz="0" w:space="0" w:color="auto"/>
            <w:right w:val="none" w:sz="0" w:space="0" w:color="auto"/>
          </w:divBdr>
        </w:div>
        <w:div w:id="1413045007">
          <w:marLeft w:val="0"/>
          <w:marRight w:val="0"/>
          <w:marTop w:val="0"/>
          <w:marBottom w:val="0"/>
          <w:divBdr>
            <w:top w:val="none" w:sz="0" w:space="0" w:color="auto"/>
            <w:left w:val="none" w:sz="0" w:space="0" w:color="auto"/>
            <w:bottom w:val="none" w:sz="0" w:space="0" w:color="auto"/>
            <w:right w:val="none" w:sz="0" w:space="0" w:color="auto"/>
          </w:divBdr>
        </w:div>
        <w:div w:id="1482959377">
          <w:marLeft w:val="0"/>
          <w:marRight w:val="0"/>
          <w:marTop w:val="0"/>
          <w:marBottom w:val="0"/>
          <w:divBdr>
            <w:top w:val="none" w:sz="0" w:space="0" w:color="auto"/>
            <w:left w:val="none" w:sz="0" w:space="0" w:color="auto"/>
            <w:bottom w:val="none" w:sz="0" w:space="0" w:color="auto"/>
            <w:right w:val="none" w:sz="0" w:space="0" w:color="auto"/>
          </w:divBdr>
        </w:div>
        <w:div w:id="1596746838">
          <w:marLeft w:val="0"/>
          <w:marRight w:val="0"/>
          <w:marTop w:val="0"/>
          <w:marBottom w:val="0"/>
          <w:divBdr>
            <w:top w:val="none" w:sz="0" w:space="0" w:color="auto"/>
            <w:left w:val="none" w:sz="0" w:space="0" w:color="auto"/>
            <w:bottom w:val="none" w:sz="0" w:space="0" w:color="auto"/>
            <w:right w:val="none" w:sz="0" w:space="0" w:color="auto"/>
          </w:divBdr>
        </w:div>
        <w:div w:id="1750233440">
          <w:marLeft w:val="0"/>
          <w:marRight w:val="0"/>
          <w:marTop w:val="0"/>
          <w:marBottom w:val="0"/>
          <w:divBdr>
            <w:top w:val="none" w:sz="0" w:space="0" w:color="auto"/>
            <w:left w:val="none" w:sz="0" w:space="0" w:color="auto"/>
            <w:bottom w:val="none" w:sz="0" w:space="0" w:color="auto"/>
            <w:right w:val="none" w:sz="0" w:space="0" w:color="auto"/>
          </w:divBdr>
        </w:div>
        <w:div w:id="1832675137">
          <w:marLeft w:val="0"/>
          <w:marRight w:val="0"/>
          <w:marTop w:val="0"/>
          <w:marBottom w:val="0"/>
          <w:divBdr>
            <w:top w:val="none" w:sz="0" w:space="0" w:color="auto"/>
            <w:left w:val="none" w:sz="0" w:space="0" w:color="auto"/>
            <w:bottom w:val="none" w:sz="0" w:space="0" w:color="auto"/>
            <w:right w:val="none" w:sz="0" w:space="0" w:color="auto"/>
          </w:divBdr>
        </w:div>
        <w:div w:id="1957902170">
          <w:marLeft w:val="0"/>
          <w:marRight w:val="0"/>
          <w:marTop w:val="0"/>
          <w:marBottom w:val="0"/>
          <w:divBdr>
            <w:top w:val="none" w:sz="0" w:space="0" w:color="auto"/>
            <w:left w:val="none" w:sz="0" w:space="0" w:color="auto"/>
            <w:bottom w:val="none" w:sz="0" w:space="0" w:color="auto"/>
            <w:right w:val="none" w:sz="0" w:space="0" w:color="auto"/>
          </w:divBdr>
        </w:div>
      </w:divsChild>
    </w:div>
    <w:div w:id="627471628">
      <w:bodyDiv w:val="1"/>
      <w:marLeft w:val="0"/>
      <w:marRight w:val="0"/>
      <w:marTop w:val="0"/>
      <w:marBottom w:val="0"/>
      <w:divBdr>
        <w:top w:val="none" w:sz="0" w:space="0" w:color="auto"/>
        <w:left w:val="none" w:sz="0" w:space="0" w:color="auto"/>
        <w:bottom w:val="none" w:sz="0" w:space="0" w:color="auto"/>
        <w:right w:val="none" w:sz="0" w:space="0" w:color="auto"/>
      </w:divBdr>
    </w:div>
    <w:div w:id="655644434">
      <w:bodyDiv w:val="1"/>
      <w:marLeft w:val="0"/>
      <w:marRight w:val="0"/>
      <w:marTop w:val="0"/>
      <w:marBottom w:val="0"/>
      <w:divBdr>
        <w:top w:val="none" w:sz="0" w:space="0" w:color="auto"/>
        <w:left w:val="none" w:sz="0" w:space="0" w:color="auto"/>
        <w:bottom w:val="none" w:sz="0" w:space="0" w:color="auto"/>
        <w:right w:val="none" w:sz="0" w:space="0" w:color="auto"/>
      </w:divBdr>
      <w:divsChild>
        <w:div w:id="950428877">
          <w:marLeft w:val="0"/>
          <w:marRight w:val="0"/>
          <w:marTop w:val="0"/>
          <w:marBottom w:val="0"/>
          <w:divBdr>
            <w:top w:val="none" w:sz="0" w:space="0" w:color="auto"/>
            <w:left w:val="none" w:sz="0" w:space="0" w:color="auto"/>
            <w:bottom w:val="none" w:sz="0" w:space="0" w:color="auto"/>
            <w:right w:val="none" w:sz="0" w:space="0" w:color="auto"/>
          </w:divBdr>
          <w:divsChild>
            <w:div w:id="56364167">
              <w:marLeft w:val="0"/>
              <w:marRight w:val="0"/>
              <w:marTop w:val="0"/>
              <w:marBottom w:val="0"/>
              <w:divBdr>
                <w:top w:val="none" w:sz="0" w:space="0" w:color="auto"/>
                <w:left w:val="none" w:sz="0" w:space="0" w:color="auto"/>
                <w:bottom w:val="none" w:sz="0" w:space="0" w:color="auto"/>
                <w:right w:val="none" w:sz="0" w:space="0" w:color="auto"/>
              </w:divBdr>
            </w:div>
            <w:div w:id="106316556">
              <w:marLeft w:val="0"/>
              <w:marRight w:val="0"/>
              <w:marTop w:val="0"/>
              <w:marBottom w:val="0"/>
              <w:divBdr>
                <w:top w:val="none" w:sz="0" w:space="0" w:color="auto"/>
                <w:left w:val="none" w:sz="0" w:space="0" w:color="auto"/>
                <w:bottom w:val="none" w:sz="0" w:space="0" w:color="auto"/>
                <w:right w:val="none" w:sz="0" w:space="0" w:color="auto"/>
              </w:divBdr>
            </w:div>
            <w:div w:id="183253381">
              <w:marLeft w:val="0"/>
              <w:marRight w:val="0"/>
              <w:marTop w:val="0"/>
              <w:marBottom w:val="0"/>
              <w:divBdr>
                <w:top w:val="none" w:sz="0" w:space="0" w:color="auto"/>
                <w:left w:val="none" w:sz="0" w:space="0" w:color="auto"/>
                <w:bottom w:val="none" w:sz="0" w:space="0" w:color="auto"/>
                <w:right w:val="none" w:sz="0" w:space="0" w:color="auto"/>
              </w:divBdr>
            </w:div>
            <w:div w:id="210578111">
              <w:marLeft w:val="0"/>
              <w:marRight w:val="0"/>
              <w:marTop w:val="0"/>
              <w:marBottom w:val="0"/>
              <w:divBdr>
                <w:top w:val="none" w:sz="0" w:space="0" w:color="auto"/>
                <w:left w:val="none" w:sz="0" w:space="0" w:color="auto"/>
                <w:bottom w:val="none" w:sz="0" w:space="0" w:color="auto"/>
                <w:right w:val="none" w:sz="0" w:space="0" w:color="auto"/>
              </w:divBdr>
            </w:div>
            <w:div w:id="663631687">
              <w:marLeft w:val="0"/>
              <w:marRight w:val="0"/>
              <w:marTop w:val="0"/>
              <w:marBottom w:val="0"/>
              <w:divBdr>
                <w:top w:val="none" w:sz="0" w:space="0" w:color="auto"/>
                <w:left w:val="none" w:sz="0" w:space="0" w:color="auto"/>
                <w:bottom w:val="none" w:sz="0" w:space="0" w:color="auto"/>
                <w:right w:val="none" w:sz="0" w:space="0" w:color="auto"/>
              </w:divBdr>
            </w:div>
            <w:div w:id="713769087">
              <w:marLeft w:val="0"/>
              <w:marRight w:val="0"/>
              <w:marTop w:val="0"/>
              <w:marBottom w:val="0"/>
              <w:divBdr>
                <w:top w:val="none" w:sz="0" w:space="0" w:color="auto"/>
                <w:left w:val="none" w:sz="0" w:space="0" w:color="auto"/>
                <w:bottom w:val="none" w:sz="0" w:space="0" w:color="auto"/>
                <w:right w:val="none" w:sz="0" w:space="0" w:color="auto"/>
              </w:divBdr>
            </w:div>
            <w:div w:id="764350927">
              <w:marLeft w:val="0"/>
              <w:marRight w:val="0"/>
              <w:marTop w:val="0"/>
              <w:marBottom w:val="0"/>
              <w:divBdr>
                <w:top w:val="none" w:sz="0" w:space="0" w:color="auto"/>
                <w:left w:val="none" w:sz="0" w:space="0" w:color="auto"/>
                <w:bottom w:val="none" w:sz="0" w:space="0" w:color="auto"/>
                <w:right w:val="none" w:sz="0" w:space="0" w:color="auto"/>
              </w:divBdr>
            </w:div>
            <w:div w:id="834808534">
              <w:marLeft w:val="0"/>
              <w:marRight w:val="0"/>
              <w:marTop w:val="0"/>
              <w:marBottom w:val="0"/>
              <w:divBdr>
                <w:top w:val="none" w:sz="0" w:space="0" w:color="auto"/>
                <w:left w:val="none" w:sz="0" w:space="0" w:color="auto"/>
                <w:bottom w:val="none" w:sz="0" w:space="0" w:color="auto"/>
                <w:right w:val="none" w:sz="0" w:space="0" w:color="auto"/>
              </w:divBdr>
            </w:div>
            <w:div w:id="918095717">
              <w:marLeft w:val="0"/>
              <w:marRight w:val="0"/>
              <w:marTop w:val="0"/>
              <w:marBottom w:val="0"/>
              <w:divBdr>
                <w:top w:val="none" w:sz="0" w:space="0" w:color="auto"/>
                <w:left w:val="none" w:sz="0" w:space="0" w:color="auto"/>
                <w:bottom w:val="none" w:sz="0" w:space="0" w:color="auto"/>
                <w:right w:val="none" w:sz="0" w:space="0" w:color="auto"/>
              </w:divBdr>
            </w:div>
            <w:div w:id="1057434857">
              <w:marLeft w:val="0"/>
              <w:marRight w:val="0"/>
              <w:marTop w:val="0"/>
              <w:marBottom w:val="0"/>
              <w:divBdr>
                <w:top w:val="none" w:sz="0" w:space="0" w:color="auto"/>
                <w:left w:val="none" w:sz="0" w:space="0" w:color="auto"/>
                <w:bottom w:val="none" w:sz="0" w:space="0" w:color="auto"/>
                <w:right w:val="none" w:sz="0" w:space="0" w:color="auto"/>
              </w:divBdr>
            </w:div>
            <w:div w:id="1105463104">
              <w:marLeft w:val="0"/>
              <w:marRight w:val="0"/>
              <w:marTop w:val="0"/>
              <w:marBottom w:val="0"/>
              <w:divBdr>
                <w:top w:val="none" w:sz="0" w:space="0" w:color="auto"/>
                <w:left w:val="none" w:sz="0" w:space="0" w:color="auto"/>
                <w:bottom w:val="none" w:sz="0" w:space="0" w:color="auto"/>
                <w:right w:val="none" w:sz="0" w:space="0" w:color="auto"/>
              </w:divBdr>
            </w:div>
            <w:div w:id="1392004066">
              <w:marLeft w:val="0"/>
              <w:marRight w:val="0"/>
              <w:marTop w:val="0"/>
              <w:marBottom w:val="0"/>
              <w:divBdr>
                <w:top w:val="none" w:sz="0" w:space="0" w:color="auto"/>
                <w:left w:val="none" w:sz="0" w:space="0" w:color="auto"/>
                <w:bottom w:val="none" w:sz="0" w:space="0" w:color="auto"/>
                <w:right w:val="none" w:sz="0" w:space="0" w:color="auto"/>
              </w:divBdr>
            </w:div>
            <w:div w:id="1577671880">
              <w:marLeft w:val="0"/>
              <w:marRight w:val="0"/>
              <w:marTop w:val="0"/>
              <w:marBottom w:val="0"/>
              <w:divBdr>
                <w:top w:val="none" w:sz="0" w:space="0" w:color="auto"/>
                <w:left w:val="none" w:sz="0" w:space="0" w:color="auto"/>
                <w:bottom w:val="none" w:sz="0" w:space="0" w:color="auto"/>
                <w:right w:val="none" w:sz="0" w:space="0" w:color="auto"/>
              </w:divBdr>
            </w:div>
            <w:div w:id="18046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732">
      <w:bodyDiv w:val="1"/>
      <w:marLeft w:val="0"/>
      <w:marRight w:val="0"/>
      <w:marTop w:val="0"/>
      <w:marBottom w:val="0"/>
      <w:divBdr>
        <w:top w:val="none" w:sz="0" w:space="0" w:color="auto"/>
        <w:left w:val="none" w:sz="0" w:space="0" w:color="auto"/>
        <w:bottom w:val="none" w:sz="0" w:space="0" w:color="auto"/>
        <w:right w:val="none" w:sz="0" w:space="0" w:color="auto"/>
      </w:divBdr>
    </w:div>
    <w:div w:id="888222681">
      <w:bodyDiv w:val="1"/>
      <w:marLeft w:val="0"/>
      <w:marRight w:val="0"/>
      <w:marTop w:val="0"/>
      <w:marBottom w:val="0"/>
      <w:divBdr>
        <w:top w:val="none" w:sz="0" w:space="0" w:color="auto"/>
        <w:left w:val="none" w:sz="0" w:space="0" w:color="auto"/>
        <w:bottom w:val="none" w:sz="0" w:space="0" w:color="auto"/>
        <w:right w:val="none" w:sz="0" w:space="0" w:color="auto"/>
      </w:divBdr>
    </w:div>
    <w:div w:id="901406992">
      <w:bodyDiv w:val="1"/>
      <w:marLeft w:val="0"/>
      <w:marRight w:val="0"/>
      <w:marTop w:val="0"/>
      <w:marBottom w:val="0"/>
      <w:divBdr>
        <w:top w:val="none" w:sz="0" w:space="0" w:color="auto"/>
        <w:left w:val="none" w:sz="0" w:space="0" w:color="auto"/>
        <w:bottom w:val="none" w:sz="0" w:space="0" w:color="auto"/>
        <w:right w:val="none" w:sz="0" w:space="0" w:color="auto"/>
      </w:divBdr>
    </w:div>
    <w:div w:id="910776388">
      <w:bodyDiv w:val="1"/>
      <w:marLeft w:val="0"/>
      <w:marRight w:val="0"/>
      <w:marTop w:val="0"/>
      <w:marBottom w:val="0"/>
      <w:divBdr>
        <w:top w:val="none" w:sz="0" w:space="0" w:color="auto"/>
        <w:left w:val="none" w:sz="0" w:space="0" w:color="auto"/>
        <w:bottom w:val="none" w:sz="0" w:space="0" w:color="auto"/>
        <w:right w:val="none" w:sz="0" w:space="0" w:color="auto"/>
      </w:divBdr>
    </w:div>
    <w:div w:id="1022436542">
      <w:bodyDiv w:val="1"/>
      <w:marLeft w:val="0"/>
      <w:marRight w:val="0"/>
      <w:marTop w:val="0"/>
      <w:marBottom w:val="0"/>
      <w:divBdr>
        <w:top w:val="none" w:sz="0" w:space="0" w:color="auto"/>
        <w:left w:val="none" w:sz="0" w:space="0" w:color="auto"/>
        <w:bottom w:val="none" w:sz="0" w:space="0" w:color="auto"/>
        <w:right w:val="none" w:sz="0" w:space="0" w:color="auto"/>
      </w:divBdr>
      <w:divsChild>
        <w:div w:id="1775594588">
          <w:marLeft w:val="0"/>
          <w:marRight w:val="0"/>
          <w:marTop w:val="0"/>
          <w:marBottom w:val="0"/>
          <w:divBdr>
            <w:top w:val="none" w:sz="0" w:space="0" w:color="auto"/>
            <w:left w:val="none" w:sz="0" w:space="0" w:color="auto"/>
            <w:bottom w:val="none" w:sz="0" w:space="0" w:color="auto"/>
            <w:right w:val="none" w:sz="0" w:space="0" w:color="auto"/>
          </w:divBdr>
        </w:div>
      </w:divsChild>
    </w:div>
    <w:div w:id="1032681965">
      <w:bodyDiv w:val="1"/>
      <w:marLeft w:val="0"/>
      <w:marRight w:val="0"/>
      <w:marTop w:val="0"/>
      <w:marBottom w:val="0"/>
      <w:divBdr>
        <w:top w:val="none" w:sz="0" w:space="0" w:color="auto"/>
        <w:left w:val="none" w:sz="0" w:space="0" w:color="auto"/>
        <w:bottom w:val="none" w:sz="0" w:space="0" w:color="auto"/>
        <w:right w:val="none" w:sz="0" w:space="0" w:color="auto"/>
      </w:divBdr>
    </w:div>
    <w:div w:id="1042173233">
      <w:bodyDiv w:val="1"/>
      <w:marLeft w:val="0"/>
      <w:marRight w:val="0"/>
      <w:marTop w:val="0"/>
      <w:marBottom w:val="0"/>
      <w:divBdr>
        <w:top w:val="none" w:sz="0" w:space="0" w:color="auto"/>
        <w:left w:val="none" w:sz="0" w:space="0" w:color="auto"/>
        <w:bottom w:val="none" w:sz="0" w:space="0" w:color="auto"/>
        <w:right w:val="none" w:sz="0" w:space="0" w:color="auto"/>
      </w:divBdr>
      <w:divsChild>
        <w:div w:id="400449447">
          <w:marLeft w:val="0"/>
          <w:marRight w:val="0"/>
          <w:marTop w:val="0"/>
          <w:marBottom w:val="0"/>
          <w:divBdr>
            <w:top w:val="none" w:sz="0" w:space="0" w:color="auto"/>
            <w:left w:val="none" w:sz="0" w:space="0" w:color="auto"/>
            <w:bottom w:val="none" w:sz="0" w:space="0" w:color="auto"/>
            <w:right w:val="none" w:sz="0" w:space="0" w:color="auto"/>
          </w:divBdr>
        </w:div>
      </w:divsChild>
    </w:div>
    <w:div w:id="1055393668">
      <w:bodyDiv w:val="1"/>
      <w:marLeft w:val="0"/>
      <w:marRight w:val="0"/>
      <w:marTop w:val="0"/>
      <w:marBottom w:val="0"/>
      <w:divBdr>
        <w:top w:val="none" w:sz="0" w:space="0" w:color="auto"/>
        <w:left w:val="none" w:sz="0" w:space="0" w:color="auto"/>
        <w:bottom w:val="none" w:sz="0" w:space="0" w:color="auto"/>
        <w:right w:val="none" w:sz="0" w:space="0" w:color="auto"/>
      </w:divBdr>
      <w:divsChild>
        <w:div w:id="1156923041">
          <w:marLeft w:val="0"/>
          <w:marRight w:val="0"/>
          <w:marTop w:val="0"/>
          <w:marBottom w:val="0"/>
          <w:divBdr>
            <w:top w:val="none" w:sz="0" w:space="0" w:color="auto"/>
            <w:left w:val="none" w:sz="0" w:space="0" w:color="auto"/>
            <w:bottom w:val="none" w:sz="0" w:space="0" w:color="auto"/>
            <w:right w:val="none" w:sz="0" w:space="0" w:color="auto"/>
          </w:divBdr>
          <w:divsChild>
            <w:div w:id="219899910">
              <w:marLeft w:val="0"/>
              <w:marRight w:val="0"/>
              <w:marTop w:val="0"/>
              <w:marBottom w:val="0"/>
              <w:divBdr>
                <w:top w:val="none" w:sz="0" w:space="0" w:color="auto"/>
                <w:left w:val="none" w:sz="0" w:space="0" w:color="auto"/>
                <w:bottom w:val="none" w:sz="0" w:space="0" w:color="auto"/>
                <w:right w:val="none" w:sz="0" w:space="0" w:color="auto"/>
              </w:divBdr>
            </w:div>
            <w:div w:id="862397118">
              <w:marLeft w:val="0"/>
              <w:marRight w:val="0"/>
              <w:marTop w:val="0"/>
              <w:marBottom w:val="0"/>
              <w:divBdr>
                <w:top w:val="none" w:sz="0" w:space="0" w:color="auto"/>
                <w:left w:val="none" w:sz="0" w:space="0" w:color="auto"/>
                <w:bottom w:val="none" w:sz="0" w:space="0" w:color="auto"/>
                <w:right w:val="none" w:sz="0" w:space="0" w:color="auto"/>
              </w:divBdr>
            </w:div>
            <w:div w:id="1225330564">
              <w:marLeft w:val="0"/>
              <w:marRight w:val="0"/>
              <w:marTop w:val="0"/>
              <w:marBottom w:val="0"/>
              <w:divBdr>
                <w:top w:val="none" w:sz="0" w:space="0" w:color="auto"/>
                <w:left w:val="none" w:sz="0" w:space="0" w:color="auto"/>
                <w:bottom w:val="none" w:sz="0" w:space="0" w:color="auto"/>
                <w:right w:val="none" w:sz="0" w:space="0" w:color="auto"/>
              </w:divBdr>
            </w:div>
            <w:div w:id="1473477888">
              <w:marLeft w:val="0"/>
              <w:marRight w:val="0"/>
              <w:marTop w:val="0"/>
              <w:marBottom w:val="0"/>
              <w:divBdr>
                <w:top w:val="none" w:sz="0" w:space="0" w:color="auto"/>
                <w:left w:val="none" w:sz="0" w:space="0" w:color="auto"/>
                <w:bottom w:val="none" w:sz="0" w:space="0" w:color="auto"/>
                <w:right w:val="none" w:sz="0" w:space="0" w:color="auto"/>
              </w:divBdr>
            </w:div>
            <w:div w:id="1928610421">
              <w:marLeft w:val="0"/>
              <w:marRight w:val="0"/>
              <w:marTop w:val="0"/>
              <w:marBottom w:val="0"/>
              <w:divBdr>
                <w:top w:val="none" w:sz="0" w:space="0" w:color="auto"/>
                <w:left w:val="none" w:sz="0" w:space="0" w:color="auto"/>
                <w:bottom w:val="none" w:sz="0" w:space="0" w:color="auto"/>
                <w:right w:val="none" w:sz="0" w:space="0" w:color="auto"/>
              </w:divBdr>
            </w:div>
            <w:div w:id="20697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29379">
      <w:bodyDiv w:val="1"/>
      <w:marLeft w:val="0"/>
      <w:marRight w:val="0"/>
      <w:marTop w:val="0"/>
      <w:marBottom w:val="0"/>
      <w:divBdr>
        <w:top w:val="none" w:sz="0" w:space="0" w:color="auto"/>
        <w:left w:val="none" w:sz="0" w:space="0" w:color="auto"/>
        <w:bottom w:val="none" w:sz="0" w:space="0" w:color="auto"/>
        <w:right w:val="none" w:sz="0" w:space="0" w:color="auto"/>
      </w:divBdr>
    </w:div>
    <w:div w:id="1219127257">
      <w:bodyDiv w:val="1"/>
      <w:marLeft w:val="0"/>
      <w:marRight w:val="0"/>
      <w:marTop w:val="0"/>
      <w:marBottom w:val="0"/>
      <w:divBdr>
        <w:top w:val="none" w:sz="0" w:space="0" w:color="auto"/>
        <w:left w:val="none" w:sz="0" w:space="0" w:color="auto"/>
        <w:bottom w:val="none" w:sz="0" w:space="0" w:color="auto"/>
        <w:right w:val="none" w:sz="0" w:space="0" w:color="auto"/>
      </w:divBdr>
      <w:divsChild>
        <w:div w:id="149639125">
          <w:marLeft w:val="0"/>
          <w:marRight w:val="0"/>
          <w:marTop w:val="0"/>
          <w:marBottom w:val="0"/>
          <w:divBdr>
            <w:top w:val="none" w:sz="0" w:space="0" w:color="auto"/>
            <w:left w:val="none" w:sz="0" w:space="0" w:color="auto"/>
            <w:bottom w:val="none" w:sz="0" w:space="0" w:color="auto"/>
            <w:right w:val="none" w:sz="0" w:space="0" w:color="auto"/>
          </w:divBdr>
          <w:divsChild>
            <w:div w:id="280767275">
              <w:marLeft w:val="0"/>
              <w:marRight w:val="0"/>
              <w:marTop w:val="0"/>
              <w:marBottom w:val="0"/>
              <w:divBdr>
                <w:top w:val="none" w:sz="0" w:space="0" w:color="auto"/>
                <w:left w:val="none" w:sz="0" w:space="0" w:color="auto"/>
                <w:bottom w:val="none" w:sz="0" w:space="0" w:color="auto"/>
                <w:right w:val="none" w:sz="0" w:space="0" w:color="auto"/>
              </w:divBdr>
            </w:div>
            <w:div w:id="360324068">
              <w:marLeft w:val="0"/>
              <w:marRight w:val="0"/>
              <w:marTop w:val="0"/>
              <w:marBottom w:val="0"/>
              <w:divBdr>
                <w:top w:val="none" w:sz="0" w:space="0" w:color="auto"/>
                <w:left w:val="none" w:sz="0" w:space="0" w:color="auto"/>
                <w:bottom w:val="none" w:sz="0" w:space="0" w:color="auto"/>
                <w:right w:val="none" w:sz="0" w:space="0" w:color="auto"/>
              </w:divBdr>
            </w:div>
            <w:div w:id="412511009">
              <w:marLeft w:val="0"/>
              <w:marRight w:val="0"/>
              <w:marTop w:val="0"/>
              <w:marBottom w:val="0"/>
              <w:divBdr>
                <w:top w:val="none" w:sz="0" w:space="0" w:color="auto"/>
                <w:left w:val="none" w:sz="0" w:space="0" w:color="auto"/>
                <w:bottom w:val="none" w:sz="0" w:space="0" w:color="auto"/>
                <w:right w:val="none" w:sz="0" w:space="0" w:color="auto"/>
              </w:divBdr>
            </w:div>
            <w:div w:id="530724292">
              <w:marLeft w:val="0"/>
              <w:marRight w:val="0"/>
              <w:marTop w:val="0"/>
              <w:marBottom w:val="0"/>
              <w:divBdr>
                <w:top w:val="none" w:sz="0" w:space="0" w:color="auto"/>
                <w:left w:val="none" w:sz="0" w:space="0" w:color="auto"/>
                <w:bottom w:val="none" w:sz="0" w:space="0" w:color="auto"/>
                <w:right w:val="none" w:sz="0" w:space="0" w:color="auto"/>
              </w:divBdr>
            </w:div>
            <w:div w:id="711883391">
              <w:marLeft w:val="0"/>
              <w:marRight w:val="0"/>
              <w:marTop w:val="0"/>
              <w:marBottom w:val="0"/>
              <w:divBdr>
                <w:top w:val="none" w:sz="0" w:space="0" w:color="auto"/>
                <w:left w:val="none" w:sz="0" w:space="0" w:color="auto"/>
                <w:bottom w:val="none" w:sz="0" w:space="0" w:color="auto"/>
                <w:right w:val="none" w:sz="0" w:space="0" w:color="auto"/>
              </w:divBdr>
            </w:div>
            <w:div w:id="958030317">
              <w:marLeft w:val="0"/>
              <w:marRight w:val="0"/>
              <w:marTop w:val="0"/>
              <w:marBottom w:val="0"/>
              <w:divBdr>
                <w:top w:val="none" w:sz="0" w:space="0" w:color="auto"/>
                <w:left w:val="none" w:sz="0" w:space="0" w:color="auto"/>
                <w:bottom w:val="none" w:sz="0" w:space="0" w:color="auto"/>
                <w:right w:val="none" w:sz="0" w:space="0" w:color="auto"/>
              </w:divBdr>
            </w:div>
            <w:div w:id="959530120">
              <w:marLeft w:val="0"/>
              <w:marRight w:val="0"/>
              <w:marTop w:val="0"/>
              <w:marBottom w:val="0"/>
              <w:divBdr>
                <w:top w:val="none" w:sz="0" w:space="0" w:color="auto"/>
                <w:left w:val="none" w:sz="0" w:space="0" w:color="auto"/>
                <w:bottom w:val="none" w:sz="0" w:space="0" w:color="auto"/>
                <w:right w:val="none" w:sz="0" w:space="0" w:color="auto"/>
              </w:divBdr>
            </w:div>
            <w:div w:id="1488133283">
              <w:marLeft w:val="0"/>
              <w:marRight w:val="0"/>
              <w:marTop w:val="0"/>
              <w:marBottom w:val="0"/>
              <w:divBdr>
                <w:top w:val="none" w:sz="0" w:space="0" w:color="auto"/>
                <w:left w:val="none" w:sz="0" w:space="0" w:color="auto"/>
                <w:bottom w:val="none" w:sz="0" w:space="0" w:color="auto"/>
                <w:right w:val="none" w:sz="0" w:space="0" w:color="auto"/>
              </w:divBdr>
            </w:div>
            <w:div w:id="1889684019">
              <w:marLeft w:val="0"/>
              <w:marRight w:val="0"/>
              <w:marTop w:val="0"/>
              <w:marBottom w:val="0"/>
              <w:divBdr>
                <w:top w:val="none" w:sz="0" w:space="0" w:color="auto"/>
                <w:left w:val="none" w:sz="0" w:space="0" w:color="auto"/>
                <w:bottom w:val="none" w:sz="0" w:space="0" w:color="auto"/>
                <w:right w:val="none" w:sz="0" w:space="0" w:color="auto"/>
              </w:divBdr>
            </w:div>
            <w:div w:id="194060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4388">
      <w:bodyDiv w:val="1"/>
      <w:marLeft w:val="0"/>
      <w:marRight w:val="0"/>
      <w:marTop w:val="0"/>
      <w:marBottom w:val="0"/>
      <w:divBdr>
        <w:top w:val="none" w:sz="0" w:space="0" w:color="auto"/>
        <w:left w:val="none" w:sz="0" w:space="0" w:color="auto"/>
        <w:bottom w:val="none" w:sz="0" w:space="0" w:color="auto"/>
        <w:right w:val="none" w:sz="0" w:space="0" w:color="auto"/>
      </w:divBdr>
      <w:divsChild>
        <w:div w:id="111094158">
          <w:marLeft w:val="0"/>
          <w:marRight w:val="0"/>
          <w:marTop w:val="0"/>
          <w:marBottom w:val="0"/>
          <w:divBdr>
            <w:top w:val="none" w:sz="0" w:space="0" w:color="auto"/>
            <w:left w:val="none" w:sz="0" w:space="0" w:color="auto"/>
            <w:bottom w:val="none" w:sz="0" w:space="0" w:color="auto"/>
            <w:right w:val="none" w:sz="0" w:space="0" w:color="auto"/>
          </w:divBdr>
        </w:div>
        <w:div w:id="147599969">
          <w:marLeft w:val="0"/>
          <w:marRight w:val="0"/>
          <w:marTop w:val="0"/>
          <w:marBottom w:val="0"/>
          <w:divBdr>
            <w:top w:val="none" w:sz="0" w:space="0" w:color="auto"/>
            <w:left w:val="none" w:sz="0" w:space="0" w:color="auto"/>
            <w:bottom w:val="none" w:sz="0" w:space="0" w:color="auto"/>
            <w:right w:val="none" w:sz="0" w:space="0" w:color="auto"/>
          </w:divBdr>
        </w:div>
        <w:div w:id="272055066">
          <w:marLeft w:val="0"/>
          <w:marRight w:val="0"/>
          <w:marTop w:val="0"/>
          <w:marBottom w:val="0"/>
          <w:divBdr>
            <w:top w:val="none" w:sz="0" w:space="0" w:color="auto"/>
            <w:left w:val="none" w:sz="0" w:space="0" w:color="auto"/>
            <w:bottom w:val="none" w:sz="0" w:space="0" w:color="auto"/>
            <w:right w:val="none" w:sz="0" w:space="0" w:color="auto"/>
          </w:divBdr>
        </w:div>
        <w:div w:id="348679793">
          <w:marLeft w:val="0"/>
          <w:marRight w:val="0"/>
          <w:marTop w:val="0"/>
          <w:marBottom w:val="0"/>
          <w:divBdr>
            <w:top w:val="none" w:sz="0" w:space="0" w:color="auto"/>
            <w:left w:val="none" w:sz="0" w:space="0" w:color="auto"/>
            <w:bottom w:val="none" w:sz="0" w:space="0" w:color="auto"/>
            <w:right w:val="none" w:sz="0" w:space="0" w:color="auto"/>
          </w:divBdr>
        </w:div>
        <w:div w:id="535310659">
          <w:marLeft w:val="0"/>
          <w:marRight w:val="0"/>
          <w:marTop w:val="0"/>
          <w:marBottom w:val="0"/>
          <w:divBdr>
            <w:top w:val="none" w:sz="0" w:space="0" w:color="auto"/>
            <w:left w:val="none" w:sz="0" w:space="0" w:color="auto"/>
            <w:bottom w:val="none" w:sz="0" w:space="0" w:color="auto"/>
            <w:right w:val="none" w:sz="0" w:space="0" w:color="auto"/>
          </w:divBdr>
        </w:div>
        <w:div w:id="582184548">
          <w:marLeft w:val="0"/>
          <w:marRight w:val="0"/>
          <w:marTop w:val="0"/>
          <w:marBottom w:val="0"/>
          <w:divBdr>
            <w:top w:val="none" w:sz="0" w:space="0" w:color="auto"/>
            <w:left w:val="none" w:sz="0" w:space="0" w:color="auto"/>
            <w:bottom w:val="none" w:sz="0" w:space="0" w:color="auto"/>
            <w:right w:val="none" w:sz="0" w:space="0" w:color="auto"/>
          </w:divBdr>
        </w:div>
        <w:div w:id="914819528">
          <w:marLeft w:val="0"/>
          <w:marRight w:val="0"/>
          <w:marTop w:val="0"/>
          <w:marBottom w:val="0"/>
          <w:divBdr>
            <w:top w:val="none" w:sz="0" w:space="0" w:color="auto"/>
            <w:left w:val="none" w:sz="0" w:space="0" w:color="auto"/>
            <w:bottom w:val="none" w:sz="0" w:space="0" w:color="auto"/>
            <w:right w:val="none" w:sz="0" w:space="0" w:color="auto"/>
          </w:divBdr>
        </w:div>
        <w:div w:id="927735185">
          <w:marLeft w:val="0"/>
          <w:marRight w:val="0"/>
          <w:marTop w:val="0"/>
          <w:marBottom w:val="0"/>
          <w:divBdr>
            <w:top w:val="none" w:sz="0" w:space="0" w:color="auto"/>
            <w:left w:val="none" w:sz="0" w:space="0" w:color="auto"/>
            <w:bottom w:val="none" w:sz="0" w:space="0" w:color="auto"/>
            <w:right w:val="none" w:sz="0" w:space="0" w:color="auto"/>
          </w:divBdr>
        </w:div>
        <w:div w:id="971130743">
          <w:marLeft w:val="0"/>
          <w:marRight w:val="0"/>
          <w:marTop w:val="0"/>
          <w:marBottom w:val="0"/>
          <w:divBdr>
            <w:top w:val="none" w:sz="0" w:space="0" w:color="auto"/>
            <w:left w:val="none" w:sz="0" w:space="0" w:color="auto"/>
            <w:bottom w:val="none" w:sz="0" w:space="0" w:color="auto"/>
            <w:right w:val="none" w:sz="0" w:space="0" w:color="auto"/>
          </w:divBdr>
        </w:div>
        <w:div w:id="993413565">
          <w:marLeft w:val="0"/>
          <w:marRight w:val="0"/>
          <w:marTop w:val="0"/>
          <w:marBottom w:val="0"/>
          <w:divBdr>
            <w:top w:val="none" w:sz="0" w:space="0" w:color="auto"/>
            <w:left w:val="none" w:sz="0" w:space="0" w:color="auto"/>
            <w:bottom w:val="none" w:sz="0" w:space="0" w:color="auto"/>
            <w:right w:val="none" w:sz="0" w:space="0" w:color="auto"/>
          </w:divBdr>
        </w:div>
        <w:div w:id="1088505943">
          <w:marLeft w:val="0"/>
          <w:marRight w:val="0"/>
          <w:marTop w:val="0"/>
          <w:marBottom w:val="0"/>
          <w:divBdr>
            <w:top w:val="none" w:sz="0" w:space="0" w:color="auto"/>
            <w:left w:val="none" w:sz="0" w:space="0" w:color="auto"/>
            <w:bottom w:val="none" w:sz="0" w:space="0" w:color="auto"/>
            <w:right w:val="none" w:sz="0" w:space="0" w:color="auto"/>
          </w:divBdr>
        </w:div>
        <w:div w:id="1135874760">
          <w:marLeft w:val="0"/>
          <w:marRight w:val="0"/>
          <w:marTop w:val="0"/>
          <w:marBottom w:val="0"/>
          <w:divBdr>
            <w:top w:val="none" w:sz="0" w:space="0" w:color="auto"/>
            <w:left w:val="none" w:sz="0" w:space="0" w:color="auto"/>
            <w:bottom w:val="none" w:sz="0" w:space="0" w:color="auto"/>
            <w:right w:val="none" w:sz="0" w:space="0" w:color="auto"/>
          </w:divBdr>
        </w:div>
        <w:div w:id="1254824520">
          <w:marLeft w:val="0"/>
          <w:marRight w:val="0"/>
          <w:marTop w:val="0"/>
          <w:marBottom w:val="0"/>
          <w:divBdr>
            <w:top w:val="none" w:sz="0" w:space="0" w:color="auto"/>
            <w:left w:val="none" w:sz="0" w:space="0" w:color="auto"/>
            <w:bottom w:val="none" w:sz="0" w:space="0" w:color="auto"/>
            <w:right w:val="none" w:sz="0" w:space="0" w:color="auto"/>
          </w:divBdr>
        </w:div>
        <w:div w:id="1286422754">
          <w:marLeft w:val="0"/>
          <w:marRight w:val="0"/>
          <w:marTop w:val="0"/>
          <w:marBottom w:val="0"/>
          <w:divBdr>
            <w:top w:val="none" w:sz="0" w:space="0" w:color="auto"/>
            <w:left w:val="none" w:sz="0" w:space="0" w:color="auto"/>
            <w:bottom w:val="none" w:sz="0" w:space="0" w:color="auto"/>
            <w:right w:val="none" w:sz="0" w:space="0" w:color="auto"/>
          </w:divBdr>
        </w:div>
        <w:div w:id="1361856001">
          <w:marLeft w:val="0"/>
          <w:marRight w:val="0"/>
          <w:marTop w:val="0"/>
          <w:marBottom w:val="0"/>
          <w:divBdr>
            <w:top w:val="none" w:sz="0" w:space="0" w:color="auto"/>
            <w:left w:val="none" w:sz="0" w:space="0" w:color="auto"/>
            <w:bottom w:val="none" w:sz="0" w:space="0" w:color="auto"/>
            <w:right w:val="none" w:sz="0" w:space="0" w:color="auto"/>
          </w:divBdr>
        </w:div>
        <w:div w:id="1506282785">
          <w:marLeft w:val="0"/>
          <w:marRight w:val="0"/>
          <w:marTop w:val="0"/>
          <w:marBottom w:val="0"/>
          <w:divBdr>
            <w:top w:val="none" w:sz="0" w:space="0" w:color="auto"/>
            <w:left w:val="none" w:sz="0" w:space="0" w:color="auto"/>
            <w:bottom w:val="none" w:sz="0" w:space="0" w:color="auto"/>
            <w:right w:val="none" w:sz="0" w:space="0" w:color="auto"/>
          </w:divBdr>
        </w:div>
        <w:div w:id="1640110890">
          <w:marLeft w:val="0"/>
          <w:marRight w:val="0"/>
          <w:marTop w:val="0"/>
          <w:marBottom w:val="0"/>
          <w:divBdr>
            <w:top w:val="none" w:sz="0" w:space="0" w:color="auto"/>
            <w:left w:val="none" w:sz="0" w:space="0" w:color="auto"/>
            <w:bottom w:val="none" w:sz="0" w:space="0" w:color="auto"/>
            <w:right w:val="none" w:sz="0" w:space="0" w:color="auto"/>
          </w:divBdr>
        </w:div>
        <w:div w:id="1650474321">
          <w:marLeft w:val="0"/>
          <w:marRight w:val="0"/>
          <w:marTop w:val="0"/>
          <w:marBottom w:val="0"/>
          <w:divBdr>
            <w:top w:val="none" w:sz="0" w:space="0" w:color="auto"/>
            <w:left w:val="none" w:sz="0" w:space="0" w:color="auto"/>
            <w:bottom w:val="none" w:sz="0" w:space="0" w:color="auto"/>
            <w:right w:val="none" w:sz="0" w:space="0" w:color="auto"/>
          </w:divBdr>
        </w:div>
        <w:div w:id="1714423751">
          <w:marLeft w:val="0"/>
          <w:marRight w:val="0"/>
          <w:marTop w:val="0"/>
          <w:marBottom w:val="0"/>
          <w:divBdr>
            <w:top w:val="none" w:sz="0" w:space="0" w:color="auto"/>
            <w:left w:val="none" w:sz="0" w:space="0" w:color="auto"/>
            <w:bottom w:val="none" w:sz="0" w:space="0" w:color="auto"/>
            <w:right w:val="none" w:sz="0" w:space="0" w:color="auto"/>
          </w:divBdr>
        </w:div>
        <w:div w:id="1717849690">
          <w:marLeft w:val="0"/>
          <w:marRight w:val="0"/>
          <w:marTop w:val="0"/>
          <w:marBottom w:val="0"/>
          <w:divBdr>
            <w:top w:val="none" w:sz="0" w:space="0" w:color="auto"/>
            <w:left w:val="none" w:sz="0" w:space="0" w:color="auto"/>
            <w:bottom w:val="none" w:sz="0" w:space="0" w:color="auto"/>
            <w:right w:val="none" w:sz="0" w:space="0" w:color="auto"/>
          </w:divBdr>
        </w:div>
        <w:div w:id="1817449097">
          <w:marLeft w:val="0"/>
          <w:marRight w:val="0"/>
          <w:marTop w:val="0"/>
          <w:marBottom w:val="0"/>
          <w:divBdr>
            <w:top w:val="none" w:sz="0" w:space="0" w:color="auto"/>
            <w:left w:val="none" w:sz="0" w:space="0" w:color="auto"/>
            <w:bottom w:val="none" w:sz="0" w:space="0" w:color="auto"/>
            <w:right w:val="none" w:sz="0" w:space="0" w:color="auto"/>
          </w:divBdr>
        </w:div>
        <w:div w:id="1927349055">
          <w:marLeft w:val="0"/>
          <w:marRight w:val="0"/>
          <w:marTop w:val="0"/>
          <w:marBottom w:val="0"/>
          <w:divBdr>
            <w:top w:val="none" w:sz="0" w:space="0" w:color="auto"/>
            <w:left w:val="none" w:sz="0" w:space="0" w:color="auto"/>
            <w:bottom w:val="none" w:sz="0" w:space="0" w:color="auto"/>
            <w:right w:val="none" w:sz="0" w:space="0" w:color="auto"/>
          </w:divBdr>
        </w:div>
        <w:div w:id="1963150183">
          <w:marLeft w:val="0"/>
          <w:marRight w:val="0"/>
          <w:marTop w:val="0"/>
          <w:marBottom w:val="0"/>
          <w:divBdr>
            <w:top w:val="none" w:sz="0" w:space="0" w:color="auto"/>
            <w:left w:val="none" w:sz="0" w:space="0" w:color="auto"/>
            <w:bottom w:val="none" w:sz="0" w:space="0" w:color="auto"/>
            <w:right w:val="none" w:sz="0" w:space="0" w:color="auto"/>
          </w:divBdr>
        </w:div>
      </w:divsChild>
    </w:div>
    <w:div w:id="1285304438">
      <w:bodyDiv w:val="1"/>
      <w:marLeft w:val="0"/>
      <w:marRight w:val="0"/>
      <w:marTop w:val="0"/>
      <w:marBottom w:val="0"/>
      <w:divBdr>
        <w:top w:val="none" w:sz="0" w:space="0" w:color="auto"/>
        <w:left w:val="none" w:sz="0" w:space="0" w:color="auto"/>
        <w:bottom w:val="none" w:sz="0" w:space="0" w:color="auto"/>
        <w:right w:val="none" w:sz="0" w:space="0" w:color="auto"/>
      </w:divBdr>
      <w:divsChild>
        <w:div w:id="705522601">
          <w:marLeft w:val="0"/>
          <w:marRight w:val="0"/>
          <w:marTop w:val="0"/>
          <w:marBottom w:val="0"/>
          <w:divBdr>
            <w:top w:val="none" w:sz="0" w:space="0" w:color="auto"/>
            <w:left w:val="none" w:sz="0" w:space="0" w:color="auto"/>
            <w:bottom w:val="none" w:sz="0" w:space="0" w:color="auto"/>
            <w:right w:val="none" w:sz="0" w:space="0" w:color="auto"/>
          </w:divBdr>
          <w:divsChild>
            <w:div w:id="18358801">
              <w:marLeft w:val="0"/>
              <w:marRight w:val="0"/>
              <w:marTop w:val="0"/>
              <w:marBottom w:val="0"/>
              <w:divBdr>
                <w:top w:val="none" w:sz="0" w:space="0" w:color="auto"/>
                <w:left w:val="none" w:sz="0" w:space="0" w:color="auto"/>
                <w:bottom w:val="none" w:sz="0" w:space="0" w:color="auto"/>
                <w:right w:val="none" w:sz="0" w:space="0" w:color="auto"/>
              </w:divBdr>
            </w:div>
            <w:div w:id="191649975">
              <w:marLeft w:val="0"/>
              <w:marRight w:val="0"/>
              <w:marTop w:val="0"/>
              <w:marBottom w:val="0"/>
              <w:divBdr>
                <w:top w:val="none" w:sz="0" w:space="0" w:color="auto"/>
                <w:left w:val="none" w:sz="0" w:space="0" w:color="auto"/>
                <w:bottom w:val="none" w:sz="0" w:space="0" w:color="auto"/>
                <w:right w:val="none" w:sz="0" w:space="0" w:color="auto"/>
              </w:divBdr>
            </w:div>
            <w:div w:id="459305561">
              <w:marLeft w:val="0"/>
              <w:marRight w:val="0"/>
              <w:marTop w:val="0"/>
              <w:marBottom w:val="0"/>
              <w:divBdr>
                <w:top w:val="none" w:sz="0" w:space="0" w:color="auto"/>
                <w:left w:val="none" w:sz="0" w:space="0" w:color="auto"/>
                <w:bottom w:val="none" w:sz="0" w:space="0" w:color="auto"/>
                <w:right w:val="none" w:sz="0" w:space="0" w:color="auto"/>
              </w:divBdr>
            </w:div>
            <w:div w:id="516164116">
              <w:marLeft w:val="0"/>
              <w:marRight w:val="0"/>
              <w:marTop w:val="0"/>
              <w:marBottom w:val="0"/>
              <w:divBdr>
                <w:top w:val="none" w:sz="0" w:space="0" w:color="auto"/>
                <w:left w:val="none" w:sz="0" w:space="0" w:color="auto"/>
                <w:bottom w:val="none" w:sz="0" w:space="0" w:color="auto"/>
                <w:right w:val="none" w:sz="0" w:space="0" w:color="auto"/>
              </w:divBdr>
            </w:div>
            <w:div w:id="1571160515">
              <w:marLeft w:val="0"/>
              <w:marRight w:val="0"/>
              <w:marTop w:val="0"/>
              <w:marBottom w:val="0"/>
              <w:divBdr>
                <w:top w:val="none" w:sz="0" w:space="0" w:color="auto"/>
                <w:left w:val="none" w:sz="0" w:space="0" w:color="auto"/>
                <w:bottom w:val="none" w:sz="0" w:space="0" w:color="auto"/>
                <w:right w:val="none" w:sz="0" w:space="0" w:color="auto"/>
              </w:divBdr>
            </w:div>
            <w:div w:id="20567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0531">
      <w:bodyDiv w:val="1"/>
      <w:marLeft w:val="0"/>
      <w:marRight w:val="0"/>
      <w:marTop w:val="0"/>
      <w:marBottom w:val="0"/>
      <w:divBdr>
        <w:top w:val="none" w:sz="0" w:space="0" w:color="auto"/>
        <w:left w:val="none" w:sz="0" w:space="0" w:color="auto"/>
        <w:bottom w:val="none" w:sz="0" w:space="0" w:color="auto"/>
        <w:right w:val="none" w:sz="0" w:space="0" w:color="auto"/>
      </w:divBdr>
    </w:div>
    <w:div w:id="1369720454">
      <w:bodyDiv w:val="1"/>
      <w:marLeft w:val="0"/>
      <w:marRight w:val="0"/>
      <w:marTop w:val="0"/>
      <w:marBottom w:val="0"/>
      <w:divBdr>
        <w:top w:val="none" w:sz="0" w:space="0" w:color="auto"/>
        <w:left w:val="none" w:sz="0" w:space="0" w:color="auto"/>
        <w:bottom w:val="none" w:sz="0" w:space="0" w:color="auto"/>
        <w:right w:val="none" w:sz="0" w:space="0" w:color="auto"/>
      </w:divBdr>
    </w:div>
    <w:div w:id="1574314939">
      <w:bodyDiv w:val="1"/>
      <w:marLeft w:val="0"/>
      <w:marRight w:val="0"/>
      <w:marTop w:val="0"/>
      <w:marBottom w:val="0"/>
      <w:divBdr>
        <w:top w:val="none" w:sz="0" w:space="0" w:color="auto"/>
        <w:left w:val="none" w:sz="0" w:space="0" w:color="auto"/>
        <w:bottom w:val="none" w:sz="0" w:space="0" w:color="auto"/>
        <w:right w:val="none" w:sz="0" w:space="0" w:color="auto"/>
      </w:divBdr>
    </w:div>
    <w:div w:id="1593590789">
      <w:bodyDiv w:val="1"/>
      <w:marLeft w:val="0"/>
      <w:marRight w:val="0"/>
      <w:marTop w:val="0"/>
      <w:marBottom w:val="0"/>
      <w:divBdr>
        <w:top w:val="none" w:sz="0" w:space="0" w:color="auto"/>
        <w:left w:val="none" w:sz="0" w:space="0" w:color="auto"/>
        <w:bottom w:val="none" w:sz="0" w:space="0" w:color="auto"/>
        <w:right w:val="none" w:sz="0" w:space="0" w:color="auto"/>
      </w:divBdr>
    </w:div>
    <w:div w:id="1646546315">
      <w:bodyDiv w:val="1"/>
      <w:marLeft w:val="0"/>
      <w:marRight w:val="0"/>
      <w:marTop w:val="0"/>
      <w:marBottom w:val="0"/>
      <w:divBdr>
        <w:top w:val="none" w:sz="0" w:space="0" w:color="auto"/>
        <w:left w:val="none" w:sz="0" w:space="0" w:color="auto"/>
        <w:bottom w:val="none" w:sz="0" w:space="0" w:color="auto"/>
        <w:right w:val="none" w:sz="0" w:space="0" w:color="auto"/>
      </w:divBdr>
    </w:div>
    <w:div w:id="1662081704">
      <w:bodyDiv w:val="1"/>
      <w:marLeft w:val="0"/>
      <w:marRight w:val="0"/>
      <w:marTop w:val="0"/>
      <w:marBottom w:val="0"/>
      <w:divBdr>
        <w:top w:val="none" w:sz="0" w:space="0" w:color="auto"/>
        <w:left w:val="none" w:sz="0" w:space="0" w:color="auto"/>
        <w:bottom w:val="none" w:sz="0" w:space="0" w:color="auto"/>
        <w:right w:val="none" w:sz="0" w:space="0" w:color="auto"/>
      </w:divBdr>
    </w:div>
    <w:div w:id="1690181357">
      <w:bodyDiv w:val="1"/>
      <w:marLeft w:val="0"/>
      <w:marRight w:val="0"/>
      <w:marTop w:val="0"/>
      <w:marBottom w:val="0"/>
      <w:divBdr>
        <w:top w:val="none" w:sz="0" w:space="0" w:color="auto"/>
        <w:left w:val="none" w:sz="0" w:space="0" w:color="auto"/>
        <w:bottom w:val="none" w:sz="0" w:space="0" w:color="auto"/>
        <w:right w:val="none" w:sz="0" w:space="0" w:color="auto"/>
      </w:divBdr>
      <w:divsChild>
        <w:div w:id="1646006906">
          <w:marLeft w:val="0"/>
          <w:marRight w:val="0"/>
          <w:marTop w:val="0"/>
          <w:marBottom w:val="0"/>
          <w:divBdr>
            <w:top w:val="none" w:sz="0" w:space="0" w:color="auto"/>
            <w:left w:val="none" w:sz="0" w:space="0" w:color="auto"/>
            <w:bottom w:val="none" w:sz="0" w:space="0" w:color="auto"/>
            <w:right w:val="none" w:sz="0" w:space="0" w:color="auto"/>
          </w:divBdr>
          <w:divsChild>
            <w:div w:id="79253995">
              <w:marLeft w:val="0"/>
              <w:marRight w:val="0"/>
              <w:marTop w:val="0"/>
              <w:marBottom w:val="0"/>
              <w:divBdr>
                <w:top w:val="none" w:sz="0" w:space="0" w:color="auto"/>
                <w:left w:val="none" w:sz="0" w:space="0" w:color="auto"/>
                <w:bottom w:val="none" w:sz="0" w:space="0" w:color="auto"/>
                <w:right w:val="none" w:sz="0" w:space="0" w:color="auto"/>
              </w:divBdr>
            </w:div>
            <w:div w:id="154340839">
              <w:marLeft w:val="0"/>
              <w:marRight w:val="0"/>
              <w:marTop w:val="0"/>
              <w:marBottom w:val="0"/>
              <w:divBdr>
                <w:top w:val="none" w:sz="0" w:space="0" w:color="auto"/>
                <w:left w:val="none" w:sz="0" w:space="0" w:color="auto"/>
                <w:bottom w:val="none" w:sz="0" w:space="0" w:color="auto"/>
                <w:right w:val="none" w:sz="0" w:space="0" w:color="auto"/>
              </w:divBdr>
            </w:div>
            <w:div w:id="313263769">
              <w:marLeft w:val="0"/>
              <w:marRight w:val="0"/>
              <w:marTop w:val="0"/>
              <w:marBottom w:val="0"/>
              <w:divBdr>
                <w:top w:val="none" w:sz="0" w:space="0" w:color="auto"/>
                <w:left w:val="none" w:sz="0" w:space="0" w:color="auto"/>
                <w:bottom w:val="none" w:sz="0" w:space="0" w:color="auto"/>
                <w:right w:val="none" w:sz="0" w:space="0" w:color="auto"/>
              </w:divBdr>
            </w:div>
            <w:div w:id="339739801">
              <w:marLeft w:val="0"/>
              <w:marRight w:val="0"/>
              <w:marTop w:val="0"/>
              <w:marBottom w:val="0"/>
              <w:divBdr>
                <w:top w:val="none" w:sz="0" w:space="0" w:color="auto"/>
                <w:left w:val="none" w:sz="0" w:space="0" w:color="auto"/>
                <w:bottom w:val="none" w:sz="0" w:space="0" w:color="auto"/>
                <w:right w:val="none" w:sz="0" w:space="0" w:color="auto"/>
              </w:divBdr>
            </w:div>
            <w:div w:id="403377238">
              <w:marLeft w:val="0"/>
              <w:marRight w:val="0"/>
              <w:marTop w:val="0"/>
              <w:marBottom w:val="0"/>
              <w:divBdr>
                <w:top w:val="none" w:sz="0" w:space="0" w:color="auto"/>
                <w:left w:val="none" w:sz="0" w:space="0" w:color="auto"/>
                <w:bottom w:val="none" w:sz="0" w:space="0" w:color="auto"/>
                <w:right w:val="none" w:sz="0" w:space="0" w:color="auto"/>
              </w:divBdr>
            </w:div>
            <w:div w:id="498152332">
              <w:marLeft w:val="0"/>
              <w:marRight w:val="0"/>
              <w:marTop w:val="0"/>
              <w:marBottom w:val="0"/>
              <w:divBdr>
                <w:top w:val="none" w:sz="0" w:space="0" w:color="auto"/>
                <w:left w:val="none" w:sz="0" w:space="0" w:color="auto"/>
                <w:bottom w:val="none" w:sz="0" w:space="0" w:color="auto"/>
                <w:right w:val="none" w:sz="0" w:space="0" w:color="auto"/>
              </w:divBdr>
            </w:div>
            <w:div w:id="593707578">
              <w:marLeft w:val="0"/>
              <w:marRight w:val="0"/>
              <w:marTop w:val="0"/>
              <w:marBottom w:val="0"/>
              <w:divBdr>
                <w:top w:val="none" w:sz="0" w:space="0" w:color="auto"/>
                <w:left w:val="none" w:sz="0" w:space="0" w:color="auto"/>
                <w:bottom w:val="none" w:sz="0" w:space="0" w:color="auto"/>
                <w:right w:val="none" w:sz="0" w:space="0" w:color="auto"/>
              </w:divBdr>
            </w:div>
            <w:div w:id="903032235">
              <w:marLeft w:val="0"/>
              <w:marRight w:val="0"/>
              <w:marTop w:val="0"/>
              <w:marBottom w:val="0"/>
              <w:divBdr>
                <w:top w:val="none" w:sz="0" w:space="0" w:color="auto"/>
                <w:left w:val="none" w:sz="0" w:space="0" w:color="auto"/>
                <w:bottom w:val="none" w:sz="0" w:space="0" w:color="auto"/>
                <w:right w:val="none" w:sz="0" w:space="0" w:color="auto"/>
              </w:divBdr>
            </w:div>
            <w:div w:id="983659568">
              <w:marLeft w:val="0"/>
              <w:marRight w:val="0"/>
              <w:marTop w:val="0"/>
              <w:marBottom w:val="0"/>
              <w:divBdr>
                <w:top w:val="none" w:sz="0" w:space="0" w:color="auto"/>
                <w:left w:val="none" w:sz="0" w:space="0" w:color="auto"/>
                <w:bottom w:val="none" w:sz="0" w:space="0" w:color="auto"/>
                <w:right w:val="none" w:sz="0" w:space="0" w:color="auto"/>
              </w:divBdr>
            </w:div>
            <w:div w:id="1122383270">
              <w:marLeft w:val="0"/>
              <w:marRight w:val="0"/>
              <w:marTop w:val="0"/>
              <w:marBottom w:val="0"/>
              <w:divBdr>
                <w:top w:val="none" w:sz="0" w:space="0" w:color="auto"/>
                <w:left w:val="none" w:sz="0" w:space="0" w:color="auto"/>
                <w:bottom w:val="none" w:sz="0" w:space="0" w:color="auto"/>
                <w:right w:val="none" w:sz="0" w:space="0" w:color="auto"/>
              </w:divBdr>
            </w:div>
            <w:div w:id="1214735719">
              <w:marLeft w:val="0"/>
              <w:marRight w:val="0"/>
              <w:marTop w:val="0"/>
              <w:marBottom w:val="0"/>
              <w:divBdr>
                <w:top w:val="none" w:sz="0" w:space="0" w:color="auto"/>
                <w:left w:val="none" w:sz="0" w:space="0" w:color="auto"/>
                <w:bottom w:val="none" w:sz="0" w:space="0" w:color="auto"/>
                <w:right w:val="none" w:sz="0" w:space="0" w:color="auto"/>
              </w:divBdr>
            </w:div>
            <w:div w:id="1242106194">
              <w:marLeft w:val="0"/>
              <w:marRight w:val="0"/>
              <w:marTop w:val="0"/>
              <w:marBottom w:val="0"/>
              <w:divBdr>
                <w:top w:val="none" w:sz="0" w:space="0" w:color="auto"/>
                <w:left w:val="none" w:sz="0" w:space="0" w:color="auto"/>
                <w:bottom w:val="none" w:sz="0" w:space="0" w:color="auto"/>
                <w:right w:val="none" w:sz="0" w:space="0" w:color="auto"/>
              </w:divBdr>
            </w:div>
            <w:div w:id="1307052378">
              <w:marLeft w:val="0"/>
              <w:marRight w:val="0"/>
              <w:marTop w:val="0"/>
              <w:marBottom w:val="0"/>
              <w:divBdr>
                <w:top w:val="none" w:sz="0" w:space="0" w:color="auto"/>
                <w:left w:val="none" w:sz="0" w:space="0" w:color="auto"/>
                <w:bottom w:val="none" w:sz="0" w:space="0" w:color="auto"/>
                <w:right w:val="none" w:sz="0" w:space="0" w:color="auto"/>
              </w:divBdr>
            </w:div>
            <w:div w:id="1355226413">
              <w:marLeft w:val="0"/>
              <w:marRight w:val="0"/>
              <w:marTop w:val="0"/>
              <w:marBottom w:val="0"/>
              <w:divBdr>
                <w:top w:val="none" w:sz="0" w:space="0" w:color="auto"/>
                <w:left w:val="none" w:sz="0" w:space="0" w:color="auto"/>
                <w:bottom w:val="none" w:sz="0" w:space="0" w:color="auto"/>
                <w:right w:val="none" w:sz="0" w:space="0" w:color="auto"/>
              </w:divBdr>
            </w:div>
            <w:div w:id="1515224760">
              <w:marLeft w:val="0"/>
              <w:marRight w:val="0"/>
              <w:marTop w:val="0"/>
              <w:marBottom w:val="0"/>
              <w:divBdr>
                <w:top w:val="none" w:sz="0" w:space="0" w:color="auto"/>
                <w:left w:val="none" w:sz="0" w:space="0" w:color="auto"/>
                <w:bottom w:val="none" w:sz="0" w:space="0" w:color="auto"/>
                <w:right w:val="none" w:sz="0" w:space="0" w:color="auto"/>
              </w:divBdr>
            </w:div>
            <w:div w:id="1596403630">
              <w:marLeft w:val="0"/>
              <w:marRight w:val="0"/>
              <w:marTop w:val="0"/>
              <w:marBottom w:val="0"/>
              <w:divBdr>
                <w:top w:val="none" w:sz="0" w:space="0" w:color="auto"/>
                <w:left w:val="none" w:sz="0" w:space="0" w:color="auto"/>
                <w:bottom w:val="none" w:sz="0" w:space="0" w:color="auto"/>
                <w:right w:val="none" w:sz="0" w:space="0" w:color="auto"/>
              </w:divBdr>
            </w:div>
            <w:div w:id="1894655433">
              <w:marLeft w:val="0"/>
              <w:marRight w:val="0"/>
              <w:marTop w:val="0"/>
              <w:marBottom w:val="0"/>
              <w:divBdr>
                <w:top w:val="none" w:sz="0" w:space="0" w:color="auto"/>
                <w:left w:val="none" w:sz="0" w:space="0" w:color="auto"/>
                <w:bottom w:val="none" w:sz="0" w:space="0" w:color="auto"/>
                <w:right w:val="none" w:sz="0" w:space="0" w:color="auto"/>
              </w:divBdr>
            </w:div>
            <w:div w:id="21016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8129">
      <w:bodyDiv w:val="1"/>
      <w:marLeft w:val="0"/>
      <w:marRight w:val="0"/>
      <w:marTop w:val="0"/>
      <w:marBottom w:val="0"/>
      <w:divBdr>
        <w:top w:val="none" w:sz="0" w:space="0" w:color="auto"/>
        <w:left w:val="none" w:sz="0" w:space="0" w:color="auto"/>
        <w:bottom w:val="none" w:sz="0" w:space="0" w:color="auto"/>
        <w:right w:val="none" w:sz="0" w:space="0" w:color="auto"/>
      </w:divBdr>
      <w:divsChild>
        <w:div w:id="412700834">
          <w:marLeft w:val="0"/>
          <w:marRight w:val="0"/>
          <w:marTop w:val="0"/>
          <w:marBottom w:val="0"/>
          <w:divBdr>
            <w:top w:val="none" w:sz="0" w:space="0" w:color="auto"/>
            <w:left w:val="none" w:sz="0" w:space="0" w:color="auto"/>
            <w:bottom w:val="none" w:sz="0" w:space="0" w:color="auto"/>
            <w:right w:val="none" w:sz="0" w:space="0" w:color="auto"/>
          </w:divBdr>
        </w:div>
      </w:divsChild>
    </w:div>
    <w:div w:id="1744646192">
      <w:bodyDiv w:val="1"/>
      <w:marLeft w:val="0"/>
      <w:marRight w:val="0"/>
      <w:marTop w:val="0"/>
      <w:marBottom w:val="0"/>
      <w:divBdr>
        <w:top w:val="none" w:sz="0" w:space="0" w:color="auto"/>
        <w:left w:val="none" w:sz="0" w:space="0" w:color="auto"/>
        <w:bottom w:val="none" w:sz="0" w:space="0" w:color="auto"/>
        <w:right w:val="none" w:sz="0" w:space="0" w:color="auto"/>
      </w:divBdr>
    </w:div>
    <w:div w:id="1752893804">
      <w:bodyDiv w:val="1"/>
      <w:marLeft w:val="0"/>
      <w:marRight w:val="0"/>
      <w:marTop w:val="0"/>
      <w:marBottom w:val="0"/>
      <w:divBdr>
        <w:top w:val="none" w:sz="0" w:space="0" w:color="auto"/>
        <w:left w:val="none" w:sz="0" w:space="0" w:color="auto"/>
        <w:bottom w:val="none" w:sz="0" w:space="0" w:color="auto"/>
        <w:right w:val="none" w:sz="0" w:space="0" w:color="auto"/>
      </w:divBdr>
    </w:div>
    <w:div w:id="1791119337">
      <w:bodyDiv w:val="1"/>
      <w:marLeft w:val="0"/>
      <w:marRight w:val="0"/>
      <w:marTop w:val="0"/>
      <w:marBottom w:val="0"/>
      <w:divBdr>
        <w:top w:val="none" w:sz="0" w:space="0" w:color="auto"/>
        <w:left w:val="none" w:sz="0" w:space="0" w:color="auto"/>
        <w:bottom w:val="none" w:sz="0" w:space="0" w:color="auto"/>
        <w:right w:val="none" w:sz="0" w:space="0" w:color="auto"/>
      </w:divBdr>
      <w:divsChild>
        <w:div w:id="129592390">
          <w:marLeft w:val="0"/>
          <w:marRight w:val="0"/>
          <w:marTop w:val="0"/>
          <w:marBottom w:val="0"/>
          <w:divBdr>
            <w:top w:val="none" w:sz="0" w:space="0" w:color="auto"/>
            <w:left w:val="none" w:sz="0" w:space="0" w:color="auto"/>
            <w:bottom w:val="none" w:sz="0" w:space="0" w:color="auto"/>
            <w:right w:val="none" w:sz="0" w:space="0" w:color="auto"/>
          </w:divBdr>
          <w:divsChild>
            <w:div w:id="503280262">
              <w:marLeft w:val="0"/>
              <w:marRight w:val="0"/>
              <w:marTop w:val="0"/>
              <w:marBottom w:val="0"/>
              <w:divBdr>
                <w:top w:val="none" w:sz="0" w:space="0" w:color="auto"/>
                <w:left w:val="none" w:sz="0" w:space="0" w:color="auto"/>
                <w:bottom w:val="none" w:sz="0" w:space="0" w:color="auto"/>
                <w:right w:val="none" w:sz="0" w:space="0" w:color="auto"/>
              </w:divBdr>
            </w:div>
            <w:div w:id="7562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8226">
      <w:bodyDiv w:val="1"/>
      <w:marLeft w:val="0"/>
      <w:marRight w:val="0"/>
      <w:marTop w:val="0"/>
      <w:marBottom w:val="0"/>
      <w:divBdr>
        <w:top w:val="none" w:sz="0" w:space="0" w:color="auto"/>
        <w:left w:val="none" w:sz="0" w:space="0" w:color="auto"/>
        <w:bottom w:val="none" w:sz="0" w:space="0" w:color="auto"/>
        <w:right w:val="none" w:sz="0" w:space="0" w:color="auto"/>
      </w:divBdr>
    </w:div>
    <w:div w:id="1934823891">
      <w:bodyDiv w:val="1"/>
      <w:marLeft w:val="0"/>
      <w:marRight w:val="0"/>
      <w:marTop w:val="0"/>
      <w:marBottom w:val="0"/>
      <w:divBdr>
        <w:top w:val="none" w:sz="0" w:space="0" w:color="auto"/>
        <w:left w:val="none" w:sz="0" w:space="0" w:color="auto"/>
        <w:bottom w:val="none" w:sz="0" w:space="0" w:color="auto"/>
        <w:right w:val="none" w:sz="0" w:space="0" w:color="auto"/>
      </w:divBdr>
      <w:divsChild>
        <w:div w:id="42751232">
          <w:marLeft w:val="0"/>
          <w:marRight w:val="0"/>
          <w:marTop w:val="0"/>
          <w:marBottom w:val="0"/>
          <w:divBdr>
            <w:top w:val="none" w:sz="0" w:space="0" w:color="auto"/>
            <w:left w:val="none" w:sz="0" w:space="0" w:color="auto"/>
            <w:bottom w:val="none" w:sz="0" w:space="0" w:color="auto"/>
            <w:right w:val="none" w:sz="0" w:space="0" w:color="auto"/>
          </w:divBdr>
          <w:divsChild>
            <w:div w:id="537357800">
              <w:marLeft w:val="0"/>
              <w:marRight w:val="0"/>
              <w:marTop w:val="0"/>
              <w:marBottom w:val="0"/>
              <w:divBdr>
                <w:top w:val="none" w:sz="0" w:space="0" w:color="auto"/>
                <w:left w:val="none" w:sz="0" w:space="0" w:color="auto"/>
                <w:bottom w:val="none" w:sz="0" w:space="0" w:color="auto"/>
                <w:right w:val="none" w:sz="0" w:space="0" w:color="auto"/>
              </w:divBdr>
            </w:div>
            <w:div w:id="1438863298">
              <w:marLeft w:val="0"/>
              <w:marRight w:val="0"/>
              <w:marTop w:val="0"/>
              <w:marBottom w:val="0"/>
              <w:divBdr>
                <w:top w:val="none" w:sz="0" w:space="0" w:color="auto"/>
                <w:left w:val="none" w:sz="0" w:space="0" w:color="auto"/>
                <w:bottom w:val="none" w:sz="0" w:space="0" w:color="auto"/>
                <w:right w:val="none" w:sz="0" w:space="0" w:color="auto"/>
              </w:divBdr>
            </w:div>
            <w:div w:id="1684622147">
              <w:marLeft w:val="0"/>
              <w:marRight w:val="0"/>
              <w:marTop w:val="0"/>
              <w:marBottom w:val="0"/>
              <w:divBdr>
                <w:top w:val="none" w:sz="0" w:space="0" w:color="auto"/>
                <w:left w:val="none" w:sz="0" w:space="0" w:color="auto"/>
                <w:bottom w:val="none" w:sz="0" w:space="0" w:color="auto"/>
                <w:right w:val="none" w:sz="0" w:space="0" w:color="auto"/>
              </w:divBdr>
            </w:div>
            <w:div w:id="1860967212">
              <w:marLeft w:val="0"/>
              <w:marRight w:val="0"/>
              <w:marTop w:val="0"/>
              <w:marBottom w:val="0"/>
              <w:divBdr>
                <w:top w:val="none" w:sz="0" w:space="0" w:color="auto"/>
                <w:left w:val="none" w:sz="0" w:space="0" w:color="auto"/>
                <w:bottom w:val="none" w:sz="0" w:space="0" w:color="auto"/>
                <w:right w:val="none" w:sz="0" w:space="0" w:color="auto"/>
              </w:divBdr>
            </w:div>
            <w:div w:id="1945379178">
              <w:marLeft w:val="0"/>
              <w:marRight w:val="0"/>
              <w:marTop w:val="0"/>
              <w:marBottom w:val="0"/>
              <w:divBdr>
                <w:top w:val="none" w:sz="0" w:space="0" w:color="auto"/>
                <w:left w:val="none" w:sz="0" w:space="0" w:color="auto"/>
                <w:bottom w:val="none" w:sz="0" w:space="0" w:color="auto"/>
                <w:right w:val="none" w:sz="0" w:space="0" w:color="auto"/>
              </w:divBdr>
            </w:div>
            <w:div w:id="1964577804">
              <w:marLeft w:val="0"/>
              <w:marRight w:val="0"/>
              <w:marTop w:val="0"/>
              <w:marBottom w:val="0"/>
              <w:divBdr>
                <w:top w:val="none" w:sz="0" w:space="0" w:color="auto"/>
                <w:left w:val="none" w:sz="0" w:space="0" w:color="auto"/>
                <w:bottom w:val="none" w:sz="0" w:space="0" w:color="auto"/>
                <w:right w:val="none" w:sz="0" w:space="0" w:color="auto"/>
              </w:divBdr>
            </w:div>
            <w:div w:id="1979872995">
              <w:marLeft w:val="0"/>
              <w:marRight w:val="0"/>
              <w:marTop w:val="0"/>
              <w:marBottom w:val="0"/>
              <w:divBdr>
                <w:top w:val="none" w:sz="0" w:space="0" w:color="auto"/>
                <w:left w:val="none" w:sz="0" w:space="0" w:color="auto"/>
                <w:bottom w:val="none" w:sz="0" w:space="0" w:color="auto"/>
                <w:right w:val="none" w:sz="0" w:space="0" w:color="auto"/>
              </w:divBdr>
            </w:div>
            <w:div w:id="214369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948391">
      <w:bodyDiv w:val="1"/>
      <w:marLeft w:val="0"/>
      <w:marRight w:val="0"/>
      <w:marTop w:val="0"/>
      <w:marBottom w:val="0"/>
      <w:divBdr>
        <w:top w:val="none" w:sz="0" w:space="0" w:color="auto"/>
        <w:left w:val="none" w:sz="0" w:space="0" w:color="auto"/>
        <w:bottom w:val="none" w:sz="0" w:space="0" w:color="auto"/>
        <w:right w:val="none" w:sz="0" w:space="0" w:color="auto"/>
      </w:divBdr>
      <w:divsChild>
        <w:div w:id="331759957">
          <w:marLeft w:val="0"/>
          <w:marRight w:val="0"/>
          <w:marTop w:val="0"/>
          <w:marBottom w:val="0"/>
          <w:divBdr>
            <w:top w:val="none" w:sz="0" w:space="0" w:color="auto"/>
            <w:left w:val="none" w:sz="0" w:space="0" w:color="auto"/>
            <w:bottom w:val="none" w:sz="0" w:space="0" w:color="auto"/>
            <w:right w:val="none" w:sz="0" w:space="0" w:color="auto"/>
          </w:divBdr>
          <w:divsChild>
            <w:div w:id="633145577">
              <w:marLeft w:val="0"/>
              <w:marRight w:val="0"/>
              <w:marTop w:val="0"/>
              <w:marBottom w:val="0"/>
              <w:divBdr>
                <w:top w:val="none" w:sz="0" w:space="0" w:color="auto"/>
                <w:left w:val="none" w:sz="0" w:space="0" w:color="auto"/>
                <w:bottom w:val="none" w:sz="0" w:space="0" w:color="auto"/>
                <w:right w:val="none" w:sz="0" w:space="0" w:color="auto"/>
              </w:divBdr>
            </w:div>
            <w:div w:id="169830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59641">
      <w:bodyDiv w:val="1"/>
      <w:marLeft w:val="0"/>
      <w:marRight w:val="0"/>
      <w:marTop w:val="0"/>
      <w:marBottom w:val="0"/>
      <w:divBdr>
        <w:top w:val="none" w:sz="0" w:space="0" w:color="auto"/>
        <w:left w:val="none" w:sz="0" w:space="0" w:color="auto"/>
        <w:bottom w:val="none" w:sz="0" w:space="0" w:color="auto"/>
        <w:right w:val="none" w:sz="0" w:space="0" w:color="auto"/>
      </w:divBdr>
      <w:divsChild>
        <w:div w:id="78261331">
          <w:marLeft w:val="0"/>
          <w:marRight w:val="0"/>
          <w:marTop w:val="0"/>
          <w:marBottom w:val="0"/>
          <w:divBdr>
            <w:top w:val="none" w:sz="0" w:space="0" w:color="auto"/>
            <w:left w:val="none" w:sz="0" w:space="0" w:color="auto"/>
            <w:bottom w:val="none" w:sz="0" w:space="0" w:color="auto"/>
            <w:right w:val="none" w:sz="0" w:space="0" w:color="auto"/>
          </w:divBdr>
          <w:divsChild>
            <w:div w:id="345904140">
              <w:marLeft w:val="0"/>
              <w:marRight w:val="0"/>
              <w:marTop w:val="0"/>
              <w:marBottom w:val="0"/>
              <w:divBdr>
                <w:top w:val="none" w:sz="0" w:space="0" w:color="auto"/>
                <w:left w:val="none" w:sz="0" w:space="0" w:color="auto"/>
                <w:bottom w:val="none" w:sz="0" w:space="0" w:color="auto"/>
                <w:right w:val="none" w:sz="0" w:space="0" w:color="auto"/>
              </w:divBdr>
            </w:div>
            <w:div w:id="644624710">
              <w:marLeft w:val="0"/>
              <w:marRight w:val="0"/>
              <w:marTop w:val="0"/>
              <w:marBottom w:val="0"/>
              <w:divBdr>
                <w:top w:val="none" w:sz="0" w:space="0" w:color="auto"/>
                <w:left w:val="none" w:sz="0" w:space="0" w:color="auto"/>
                <w:bottom w:val="none" w:sz="0" w:space="0" w:color="auto"/>
                <w:right w:val="none" w:sz="0" w:space="0" w:color="auto"/>
              </w:divBdr>
            </w:div>
            <w:div w:id="867640380">
              <w:marLeft w:val="0"/>
              <w:marRight w:val="0"/>
              <w:marTop w:val="0"/>
              <w:marBottom w:val="0"/>
              <w:divBdr>
                <w:top w:val="none" w:sz="0" w:space="0" w:color="auto"/>
                <w:left w:val="none" w:sz="0" w:space="0" w:color="auto"/>
                <w:bottom w:val="none" w:sz="0" w:space="0" w:color="auto"/>
                <w:right w:val="none" w:sz="0" w:space="0" w:color="auto"/>
              </w:divBdr>
            </w:div>
            <w:div w:id="953899145">
              <w:marLeft w:val="0"/>
              <w:marRight w:val="0"/>
              <w:marTop w:val="0"/>
              <w:marBottom w:val="0"/>
              <w:divBdr>
                <w:top w:val="none" w:sz="0" w:space="0" w:color="auto"/>
                <w:left w:val="none" w:sz="0" w:space="0" w:color="auto"/>
                <w:bottom w:val="none" w:sz="0" w:space="0" w:color="auto"/>
                <w:right w:val="none" w:sz="0" w:space="0" w:color="auto"/>
              </w:divBdr>
            </w:div>
            <w:div w:id="955335784">
              <w:marLeft w:val="0"/>
              <w:marRight w:val="0"/>
              <w:marTop w:val="0"/>
              <w:marBottom w:val="0"/>
              <w:divBdr>
                <w:top w:val="none" w:sz="0" w:space="0" w:color="auto"/>
                <w:left w:val="none" w:sz="0" w:space="0" w:color="auto"/>
                <w:bottom w:val="none" w:sz="0" w:space="0" w:color="auto"/>
                <w:right w:val="none" w:sz="0" w:space="0" w:color="auto"/>
              </w:divBdr>
            </w:div>
            <w:div w:id="1435243563">
              <w:marLeft w:val="0"/>
              <w:marRight w:val="0"/>
              <w:marTop w:val="0"/>
              <w:marBottom w:val="0"/>
              <w:divBdr>
                <w:top w:val="none" w:sz="0" w:space="0" w:color="auto"/>
                <w:left w:val="none" w:sz="0" w:space="0" w:color="auto"/>
                <w:bottom w:val="none" w:sz="0" w:space="0" w:color="auto"/>
                <w:right w:val="none" w:sz="0" w:space="0" w:color="auto"/>
              </w:divBdr>
            </w:div>
            <w:div w:id="1822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vaprint.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iat@eurovaprint.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ec.europa.eu/enterprise/policies/single-market-goods/documents/internal-market-for-products/new-legislative-framework/index_en.ht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JOHtml.do?uri=OJ:L:2013:063:SOM:EN:HTML" TargetMode="External"/><Relationship Id="rId1" Type="http://schemas.openxmlformats.org/officeDocument/2006/relationships/hyperlink" Target="http://www.eurovaprin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399E-7204-440B-BAB6-B7B39BA0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24</Pages>
  <Words>7278</Words>
  <Characters>41489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Pro</vt:lpstr>
    </vt:vector>
  </TitlesOfParts>
  <Company>Epson Europe B.V.</Company>
  <LinksUpToDate>false</LinksUpToDate>
  <CharactersWithSpaces>48670</CharactersWithSpaces>
  <SharedDoc>false</SharedDoc>
  <HLinks>
    <vt:vector size="126" baseType="variant">
      <vt:variant>
        <vt:i4>1769524</vt:i4>
      </vt:variant>
      <vt:variant>
        <vt:i4>189</vt:i4>
      </vt:variant>
      <vt:variant>
        <vt:i4>0</vt:i4>
      </vt:variant>
      <vt:variant>
        <vt:i4>5</vt:i4>
      </vt:variant>
      <vt:variant>
        <vt:lpwstr>mailto:Jacek.TRUSZCZYNSKI@ec.europa.eu</vt:lpwstr>
      </vt:variant>
      <vt:variant>
        <vt:lpwstr/>
      </vt:variant>
      <vt:variant>
        <vt:i4>3211383</vt:i4>
      </vt:variant>
      <vt:variant>
        <vt:i4>165</vt:i4>
      </vt:variant>
      <vt:variant>
        <vt:i4>0</vt:i4>
      </vt:variant>
      <vt:variant>
        <vt:i4>5</vt:i4>
      </vt:variant>
      <vt:variant>
        <vt:lpwstr>http://ec.europa.eu/enterprise/newapproach/legislation/guide/index.htm</vt:lpwstr>
      </vt:variant>
      <vt:variant>
        <vt:lpwstr/>
      </vt:variant>
      <vt:variant>
        <vt:i4>1638451</vt:i4>
      </vt:variant>
      <vt:variant>
        <vt:i4>98</vt:i4>
      </vt:variant>
      <vt:variant>
        <vt:i4>0</vt:i4>
      </vt:variant>
      <vt:variant>
        <vt:i4>5</vt:i4>
      </vt:variant>
      <vt:variant>
        <vt:lpwstr/>
      </vt:variant>
      <vt:variant>
        <vt:lpwstr>_Toc285151162</vt:lpwstr>
      </vt:variant>
      <vt:variant>
        <vt:i4>1638451</vt:i4>
      </vt:variant>
      <vt:variant>
        <vt:i4>92</vt:i4>
      </vt:variant>
      <vt:variant>
        <vt:i4>0</vt:i4>
      </vt:variant>
      <vt:variant>
        <vt:i4>5</vt:i4>
      </vt:variant>
      <vt:variant>
        <vt:lpwstr/>
      </vt:variant>
      <vt:variant>
        <vt:lpwstr>_Toc285151161</vt:lpwstr>
      </vt:variant>
      <vt:variant>
        <vt:i4>1638451</vt:i4>
      </vt:variant>
      <vt:variant>
        <vt:i4>86</vt:i4>
      </vt:variant>
      <vt:variant>
        <vt:i4>0</vt:i4>
      </vt:variant>
      <vt:variant>
        <vt:i4>5</vt:i4>
      </vt:variant>
      <vt:variant>
        <vt:lpwstr/>
      </vt:variant>
      <vt:variant>
        <vt:lpwstr>_Toc285151160</vt:lpwstr>
      </vt:variant>
      <vt:variant>
        <vt:i4>1703987</vt:i4>
      </vt:variant>
      <vt:variant>
        <vt:i4>80</vt:i4>
      </vt:variant>
      <vt:variant>
        <vt:i4>0</vt:i4>
      </vt:variant>
      <vt:variant>
        <vt:i4>5</vt:i4>
      </vt:variant>
      <vt:variant>
        <vt:lpwstr/>
      </vt:variant>
      <vt:variant>
        <vt:lpwstr>_Toc285151159</vt:lpwstr>
      </vt:variant>
      <vt:variant>
        <vt:i4>1703987</vt:i4>
      </vt:variant>
      <vt:variant>
        <vt:i4>74</vt:i4>
      </vt:variant>
      <vt:variant>
        <vt:i4>0</vt:i4>
      </vt:variant>
      <vt:variant>
        <vt:i4>5</vt:i4>
      </vt:variant>
      <vt:variant>
        <vt:lpwstr/>
      </vt:variant>
      <vt:variant>
        <vt:lpwstr>_Toc285151158</vt:lpwstr>
      </vt:variant>
      <vt:variant>
        <vt:i4>1703987</vt:i4>
      </vt:variant>
      <vt:variant>
        <vt:i4>68</vt:i4>
      </vt:variant>
      <vt:variant>
        <vt:i4>0</vt:i4>
      </vt:variant>
      <vt:variant>
        <vt:i4>5</vt:i4>
      </vt:variant>
      <vt:variant>
        <vt:lpwstr/>
      </vt:variant>
      <vt:variant>
        <vt:lpwstr>_Toc285151157</vt:lpwstr>
      </vt:variant>
      <vt:variant>
        <vt:i4>1703987</vt:i4>
      </vt:variant>
      <vt:variant>
        <vt:i4>62</vt:i4>
      </vt:variant>
      <vt:variant>
        <vt:i4>0</vt:i4>
      </vt:variant>
      <vt:variant>
        <vt:i4>5</vt:i4>
      </vt:variant>
      <vt:variant>
        <vt:lpwstr/>
      </vt:variant>
      <vt:variant>
        <vt:lpwstr>_Toc285151156</vt:lpwstr>
      </vt:variant>
      <vt:variant>
        <vt:i4>1703987</vt:i4>
      </vt:variant>
      <vt:variant>
        <vt:i4>56</vt:i4>
      </vt:variant>
      <vt:variant>
        <vt:i4>0</vt:i4>
      </vt:variant>
      <vt:variant>
        <vt:i4>5</vt:i4>
      </vt:variant>
      <vt:variant>
        <vt:lpwstr/>
      </vt:variant>
      <vt:variant>
        <vt:lpwstr>_Toc285151155</vt:lpwstr>
      </vt:variant>
      <vt:variant>
        <vt:i4>1703987</vt:i4>
      </vt:variant>
      <vt:variant>
        <vt:i4>50</vt:i4>
      </vt:variant>
      <vt:variant>
        <vt:i4>0</vt:i4>
      </vt:variant>
      <vt:variant>
        <vt:i4>5</vt:i4>
      </vt:variant>
      <vt:variant>
        <vt:lpwstr/>
      </vt:variant>
      <vt:variant>
        <vt:lpwstr>_Toc285151154</vt:lpwstr>
      </vt:variant>
      <vt:variant>
        <vt:i4>1703987</vt:i4>
      </vt:variant>
      <vt:variant>
        <vt:i4>44</vt:i4>
      </vt:variant>
      <vt:variant>
        <vt:i4>0</vt:i4>
      </vt:variant>
      <vt:variant>
        <vt:i4>5</vt:i4>
      </vt:variant>
      <vt:variant>
        <vt:lpwstr/>
      </vt:variant>
      <vt:variant>
        <vt:lpwstr>_Toc285151153</vt:lpwstr>
      </vt:variant>
      <vt:variant>
        <vt:i4>1703987</vt:i4>
      </vt:variant>
      <vt:variant>
        <vt:i4>38</vt:i4>
      </vt:variant>
      <vt:variant>
        <vt:i4>0</vt:i4>
      </vt:variant>
      <vt:variant>
        <vt:i4>5</vt:i4>
      </vt:variant>
      <vt:variant>
        <vt:lpwstr/>
      </vt:variant>
      <vt:variant>
        <vt:lpwstr>_Toc285151152</vt:lpwstr>
      </vt:variant>
      <vt:variant>
        <vt:i4>1703987</vt:i4>
      </vt:variant>
      <vt:variant>
        <vt:i4>32</vt:i4>
      </vt:variant>
      <vt:variant>
        <vt:i4>0</vt:i4>
      </vt:variant>
      <vt:variant>
        <vt:i4>5</vt:i4>
      </vt:variant>
      <vt:variant>
        <vt:lpwstr/>
      </vt:variant>
      <vt:variant>
        <vt:lpwstr>_Toc285151151</vt:lpwstr>
      </vt:variant>
      <vt:variant>
        <vt:i4>1703987</vt:i4>
      </vt:variant>
      <vt:variant>
        <vt:i4>26</vt:i4>
      </vt:variant>
      <vt:variant>
        <vt:i4>0</vt:i4>
      </vt:variant>
      <vt:variant>
        <vt:i4>5</vt:i4>
      </vt:variant>
      <vt:variant>
        <vt:lpwstr/>
      </vt:variant>
      <vt:variant>
        <vt:lpwstr>_Toc285151150</vt:lpwstr>
      </vt:variant>
      <vt:variant>
        <vt:i4>1769523</vt:i4>
      </vt:variant>
      <vt:variant>
        <vt:i4>20</vt:i4>
      </vt:variant>
      <vt:variant>
        <vt:i4>0</vt:i4>
      </vt:variant>
      <vt:variant>
        <vt:i4>5</vt:i4>
      </vt:variant>
      <vt:variant>
        <vt:lpwstr/>
      </vt:variant>
      <vt:variant>
        <vt:lpwstr>_Toc285151149</vt:lpwstr>
      </vt:variant>
      <vt:variant>
        <vt:i4>1769523</vt:i4>
      </vt:variant>
      <vt:variant>
        <vt:i4>14</vt:i4>
      </vt:variant>
      <vt:variant>
        <vt:i4>0</vt:i4>
      </vt:variant>
      <vt:variant>
        <vt:i4>5</vt:i4>
      </vt:variant>
      <vt:variant>
        <vt:lpwstr/>
      </vt:variant>
      <vt:variant>
        <vt:lpwstr>_Toc285151148</vt:lpwstr>
      </vt:variant>
      <vt:variant>
        <vt:i4>1769523</vt:i4>
      </vt:variant>
      <vt:variant>
        <vt:i4>8</vt:i4>
      </vt:variant>
      <vt:variant>
        <vt:i4>0</vt:i4>
      </vt:variant>
      <vt:variant>
        <vt:i4>5</vt:i4>
      </vt:variant>
      <vt:variant>
        <vt:lpwstr/>
      </vt:variant>
      <vt:variant>
        <vt:lpwstr>_Toc285151147</vt:lpwstr>
      </vt:variant>
      <vt:variant>
        <vt:i4>1769523</vt:i4>
      </vt:variant>
      <vt:variant>
        <vt:i4>2</vt:i4>
      </vt:variant>
      <vt:variant>
        <vt:i4>0</vt:i4>
      </vt:variant>
      <vt:variant>
        <vt:i4>5</vt:i4>
      </vt:variant>
      <vt:variant>
        <vt:lpwstr/>
      </vt:variant>
      <vt:variant>
        <vt:lpwstr>_Toc285151146</vt:lpwstr>
      </vt:variant>
      <vt:variant>
        <vt:i4>2490407</vt:i4>
      </vt:variant>
      <vt:variant>
        <vt:i4>3</vt:i4>
      </vt:variant>
      <vt:variant>
        <vt:i4>0</vt:i4>
      </vt:variant>
      <vt:variant>
        <vt:i4>5</vt:i4>
      </vt:variant>
      <vt:variant>
        <vt:lpwstr>http://www.eu-energystar.org/downloads/legislation/20030408/Council_Decision_2003_269_en.pdf</vt:lpwstr>
      </vt:variant>
      <vt:variant>
        <vt:lpwstr/>
      </vt:variant>
      <vt:variant>
        <vt:i4>3211374</vt:i4>
      </vt:variant>
      <vt:variant>
        <vt:i4>0</vt:i4>
      </vt:variant>
      <vt:variant>
        <vt:i4>0</vt:i4>
      </vt:variant>
      <vt:variant>
        <vt:i4>5</vt:i4>
      </vt:variant>
      <vt:variant>
        <vt:lpwstr>http://eur-lex.europa.eu/LexUriServ/LexUriServ.do?uri=CELEX:52002DC0412:EN:NOT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c:title>
  <dc:creator>NLES5328</dc:creator>
  <cp:lastModifiedBy>William DAZY</cp:lastModifiedBy>
  <cp:revision>108</cp:revision>
  <cp:lastPrinted>2013-10-11T13:48:00Z</cp:lastPrinted>
  <dcterms:created xsi:type="dcterms:W3CDTF">2013-12-20T11:08:00Z</dcterms:created>
  <dcterms:modified xsi:type="dcterms:W3CDTF">2013-12-23T14:20:00Z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