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F0" w:rsidRPr="00757836" w:rsidRDefault="004A62F0" w:rsidP="004A62F0">
      <w:pPr>
        <w:jc w:val="center"/>
      </w:pPr>
      <w:r>
        <w:rPr>
          <w:b/>
        </w:rPr>
        <w:t>Working Document on a possible t</w:t>
      </w:r>
      <w:r w:rsidRPr="00757836">
        <w:rPr>
          <w:b/>
        </w:rPr>
        <w:t>ransitional measurement method</w:t>
      </w:r>
    </w:p>
    <w:p w:rsidR="004A62F0" w:rsidRDefault="004A62F0" w:rsidP="004A62F0">
      <w:pPr>
        <w:pStyle w:val="Prliminairetype"/>
      </w:pPr>
      <w:r w:rsidRPr="00153B00">
        <w:t xml:space="preserve">DRAFT Commission communication in the framework of the implementation of the </w:t>
      </w:r>
      <w:r w:rsidRPr="00153B00">
        <w:br/>
        <w:t xml:space="preserve">Commission Regulation (EC) No XX/20XX of …… implementing Directive 2009/125/EC of the European Parliament and of the Council with regard to </w:t>
      </w:r>
      <w:proofErr w:type="spellStart"/>
      <w:r w:rsidRPr="00153B00">
        <w:t>ecodesign</w:t>
      </w:r>
      <w:proofErr w:type="spellEnd"/>
      <w:r w:rsidRPr="00153B00">
        <w:t xml:space="preserve"> requirements for  </w:t>
      </w:r>
      <w:r>
        <w:t>compressors</w:t>
      </w:r>
      <w:r w:rsidR="00F05BBF">
        <w:t xml:space="preserve"> for standard air applications</w:t>
      </w:r>
      <w:bookmarkStart w:id="0" w:name="_GoBack"/>
      <w:bookmarkEnd w:id="0"/>
    </w:p>
    <w:p w:rsidR="004A62F0" w:rsidRPr="00153B00" w:rsidRDefault="004A62F0" w:rsidP="004A62F0"/>
    <w:p w:rsidR="004A62F0" w:rsidRDefault="004A62F0" w:rsidP="004A62F0">
      <w:pPr>
        <w:pStyle w:val="Point0"/>
        <w:numPr>
          <w:ilvl w:val="0"/>
          <w:numId w:val="1"/>
        </w:numPr>
        <w:ind w:firstLine="0"/>
        <w:jc w:val="left"/>
      </w:pPr>
      <w:r w:rsidRPr="00153B00">
        <w:t>Publication of titles and references of transitory measurement methods</w:t>
      </w:r>
      <w:r w:rsidRPr="00153B00">
        <w:rPr>
          <w:rStyle w:val="FootnoteReference"/>
        </w:rPr>
        <w:footnoteReference w:id="1"/>
      </w:r>
      <w:r w:rsidRPr="00153B00">
        <w:t xml:space="preserve"> </w:t>
      </w:r>
    </w:p>
    <w:p w:rsidR="004A62F0" w:rsidRDefault="004A62F0" w:rsidP="004A62F0">
      <w:pPr>
        <w:pStyle w:val="Point0"/>
        <w:ind w:left="0" w:firstLine="0"/>
        <w:rPr>
          <w:i/>
        </w:rPr>
      </w:pPr>
      <w:r>
        <w:rPr>
          <w:i/>
        </w:rPr>
        <w:t>The organisation publishing references with prefix ‘EN’ is CEN. References with prefix ‘ISO’ are published by ISO</w:t>
      </w:r>
      <w:proofErr w:type="gramStart"/>
      <w:r>
        <w:rPr>
          <w:i/>
        </w:rPr>
        <w:t>..</w:t>
      </w:r>
      <w:proofErr w:type="gramEnd"/>
    </w:p>
    <w:p w:rsidR="004A62F0" w:rsidRDefault="004A62F0"/>
    <w:p w:rsidR="004A62F0" w:rsidRDefault="004A62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0"/>
        <w:gridCol w:w="1339"/>
        <w:gridCol w:w="3543"/>
        <w:gridCol w:w="2376"/>
      </w:tblGrid>
      <w:tr w:rsidR="001B7AFD" w:rsidRPr="00B66E6B" w:rsidTr="008C03C7">
        <w:trPr>
          <w:trHeight w:val="528"/>
        </w:trPr>
        <w:tc>
          <w:tcPr>
            <w:tcW w:w="2030" w:type="dxa"/>
            <w:hideMark/>
          </w:tcPr>
          <w:p w:rsidR="004A62F0" w:rsidRPr="00B66E6B" w:rsidRDefault="004A62F0" w:rsidP="005557B9">
            <w:pPr>
              <w:spacing w:before="0" w:after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66E6B">
              <w:rPr>
                <w:b/>
                <w:bCs/>
                <w:color w:val="000000"/>
                <w:sz w:val="20"/>
                <w:szCs w:val="20"/>
                <w:lang w:eastAsia="en-GB"/>
              </w:rPr>
              <w:t>Measured parameter</w:t>
            </w:r>
          </w:p>
        </w:tc>
        <w:tc>
          <w:tcPr>
            <w:tcW w:w="1339" w:type="dxa"/>
            <w:hideMark/>
          </w:tcPr>
          <w:p w:rsidR="004A62F0" w:rsidRPr="00B66E6B" w:rsidRDefault="004A62F0" w:rsidP="005557B9">
            <w:pPr>
              <w:spacing w:before="0" w:after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Organisation</w:t>
            </w:r>
          </w:p>
        </w:tc>
        <w:tc>
          <w:tcPr>
            <w:tcW w:w="3543" w:type="dxa"/>
            <w:hideMark/>
          </w:tcPr>
          <w:p w:rsidR="004A62F0" w:rsidRPr="00B66E6B" w:rsidRDefault="004A62F0" w:rsidP="005557B9">
            <w:pPr>
              <w:spacing w:before="0" w:after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Reference/</w:t>
            </w:r>
            <w:r w:rsidRPr="00B66E6B">
              <w:rPr>
                <w:b/>
                <w:bCs/>
                <w:color w:val="000000"/>
                <w:sz w:val="20"/>
                <w:szCs w:val="20"/>
                <w:lang w:eastAsia="en-GB"/>
              </w:rPr>
              <w:t>Title</w:t>
            </w:r>
          </w:p>
        </w:tc>
        <w:tc>
          <w:tcPr>
            <w:tcW w:w="2376" w:type="dxa"/>
          </w:tcPr>
          <w:p w:rsidR="004A62F0" w:rsidRPr="00B66E6B" w:rsidRDefault="004A62F0" w:rsidP="005557B9">
            <w:pPr>
              <w:spacing w:before="0" w:after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Note</w:t>
            </w:r>
          </w:p>
        </w:tc>
      </w:tr>
      <w:tr w:rsidR="004A62F0" w:rsidRPr="00B66E6B" w:rsidTr="008C03C7">
        <w:trPr>
          <w:trHeight w:val="528"/>
        </w:trPr>
        <w:tc>
          <w:tcPr>
            <w:tcW w:w="2030" w:type="dxa"/>
          </w:tcPr>
          <w:p w:rsidR="004A62F0" w:rsidRPr="00B66E6B" w:rsidRDefault="004A62F0" w:rsidP="005557B9">
            <w:pPr>
              <w:spacing w:before="0" w:after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E3DA3">
              <w:rPr>
                <w:i/>
                <w:iCs/>
                <w:color w:val="000000"/>
                <w:sz w:val="20"/>
                <w:szCs w:val="20"/>
                <w:lang w:eastAsia="en-GB"/>
              </w:rPr>
              <w:t>Isentropic efficiency</w:t>
            </w:r>
          </w:p>
        </w:tc>
        <w:tc>
          <w:tcPr>
            <w:tcW w:w="1339" w:type="dxa"/>
          </w:tcPr>
          <w:p w:rsidR="004A62F0" w:rsidRPr="00CB2274" w:rsidRDefault="004A62F0" w:rsidP="00CB2274">
            <w:pPr>
              <w:pStyle w:val="NoSpacing"/>
              <w:rPr>
                <w:sz w:val="20"/>
                <w:szCs w:val="20"/>
                <w:lang w:val="en-US" w:eastAsia="en-GB"/>
              </w:rPr>
            </w:pPr>
            <w:r w:rsidRPr="00CB2274">
              <w:rPr>
                <w:sz w:val="20"/>
                <w:szCs w:val="20"/>
                <w:lang w:val="en-US" w:eastAsia="en-GB"/>
              </w:rPr>
              <w:t>European Commission</w:t>
            </w:r>
          </w:p>
        </w:tc>
        <w:tc>
          <w:tcPr>
            <w:tcW w:w="3543" w:type="dxa"/>
          </w:tcPr>
          <w:p w:rsidR="004A62F0" w:rsidRPr="00CB2274" w:rsidRDefault="004A62F0" w:rsidP="00CB2274">
            <w:pPr>
              <w:pStyle w:val="NoSpacing"/>
              <w:rPr>
                <w:sz w:val="20"/>
                <w:szCs w:val="20"/>
                <w:lang w:val="en-US" w:eastAsia="en-GB"/>
              </w:rPr>
            </w:pPr>
            <w:r w:rsidRPr="00CB2274">
              <w:rPr>
                <w:sz w:val="20"/>
                <w:szCs w:val="20"/>
                <w:lang w:val="en-US" w:eastAsia="en-GB"/>
              </w:rPr>
              <w:t>Commission  Regulation</w:t>
            </w:r>
            <w:r w:rsidR="00910454" w:rsidRPr="00CB2274">
              <w:rPr>
                <w:sz w:val="20"/>
                <w:szCs w:val="20"/>
                <w:lang w:val="en-US" w:eastAsia="en-GB"/>
              </w:rPr>
              <w:t xml:space="preserve"> </w:t>
            </w:r>
            <w:r w:rsidRPr="00CB2274">
              <w:rPr>
                <w:sz w:val="20"/>
                <w:szCs w:val="20"/>
                <w:lang w:val="en-US" w:eastAsia="en-GB"/>
              </w:rPr>
              <w:t xml:space="preserve">No  </w:t>
            </w:r>
            <w:proofErr w:type="spellStart"/>
            <w:r w:rsidRPr="00CB2274">
              <w:rPr>
                <w:sz w:val="20"/>
                <w:szCs w:val="20"/>
                <w:lang w:val="en-US" w:eastAsia="en-GB"/>
              </w:rPr>
              <w:t>xxxx</w:t>
            </w:r>
            <w:proofErr w:type="spellEnd"/>
            <w:r w:rsidRPr="00CB2274">
              <w:rPr>
                <w:sz w:val="20"/>
                <w:szCs w:val="20"/>
                <w:lang w:val="en-US" w:eastAsia="en-GB"/>
              </w:rPr>
              <w:t>,  Annex  II</w:t>
            </w:r>
          </w:p>
        </w:tc>
        <w:tc>
          <w:tcPr>
            <w:tcW w:w="2376" w:type="dxa"/>
          </w:tcPr>
          <w:p w:rsidR="004A62F0" w:rsidRDefault="004A62F0" w:rsidP="005557B9">
            <w:pPr>
              <w:spacing w:before="0" w:after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E13019" w:rsidRPr="00B66E6B" w:rsidTr="008C03C7">
        <w:trPr>
          <w:trHeight w:val="528"/>
        </w:trPr>
        <w:tc>
          <w:tcPr>
            <w:tcW w:w="2030" w:type="dxa"/>
          </w:tcPr>
          <w:p w:rsidR="00E13019" w:rsidRPr="00E13019" w:rsidRDefault="00E13019" w:rsidP="005557B9">
            <w:pPr>
              <w:spacing w:before="0" w:after="0"/>
              <w:rPr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i/>
                <w:sz w:val="20"/>
                <w:lang w:val="en-US"/>
              </w:rPr>
              <w:t>V</w:t>
            </w:r>
            <w:r w:rsidRPr="00E13019">
              <w:rPr>
                <w:i/>
                <w:sz w:val="20"/>
                <w:lang w:val="en-US"/>
              </w:rPr>
              <w:t>olume flow rate</w:t>
            </w:r>
          </w:p>
        </w:tc>
        <w:tc>
          <w:tcPr>
            <w:tcW w:w="1339" w:type="dxa"/>
          </w:tcPr>
          <w:p w:rsidR="00E13019" w:rsidRPr="004A62F0" w:rsidRDefault="00E13019" w:rsidP="005557B9">
            <w:pPr>
              <w:spacing w:before="0" w:after="0"/>
              <w:rPr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Cs/>
                <w:color w:val="000000"/>
                <w:sz w:val="20"/>
                <w:szCs w:val="20"/>
                <w:lang w:eastAsia="en-GB"/>
              </w:rPr>
              <w:t>ISO</w:t>
            </w:r>
          </w:p>
        </w:tc>
        <w:tc>
          <w:tcPr>
            <w:tcW w:w="3543" w:type="dxa"/>
            <w:vAlign w:val="center"/>
          </w:tcPr>
          <w:p w:rsidR="00910454" w:rsidRDefault="00E13019" w:rsidP="00B81231">
            <w:pPr>
              <w:pStyle w:val="NoSpacing"/>
              <w:rPr>
                <w:sz w:val="20"/>
                <w:szCs w:val="20"/>
                <w:lang w:val="en-US" w:eastAsia="en-GB"/>
              </w:rPr>
            </w:pPr>
            <w:r w:rsidRPr="00B81231">
              <w:rPr>
                <w:sz w:val="20"/>
                <w:szCs w:val="20"/>
                <w:lang w:val="en-US" w:eastAsia="en-GB"/>
              </w:rPr>
              <w:t>ISO 1217:2009</w:t>
            </w:r>
            <w:r w:rsidR="00CB2274">
              <w:rPr>
                <w:sz w:val="20"/>
                <w:szCs w:val="20"/>
                <w:lang w:val="en-US" w:eastAsia="en-GB"/>
              </w:rPr>
              <w:t xml:space="preserve">, </w:t>
            </w:r>
            <w:r w:rsidRPr="00B81231">
              <w:rPr>
                <w:sz w:val="20"/>
                <w:szCs w:val="20"/>
                <w:lang w:val="en-US" w:eastAsia="en-GB"/>
              </w:rPr>
              <w:t>Displacement compressors - Acceptance tests</w:t>
            </w:r>
            <w:r w:rsidR="00BC566F" w:rsidRPr="00B81231">
              <w:rPr>
                <w:sz w:val="20"/>
                <w:szCs w:val="20"/>
                <w:lang w:val="en-US" w:eastAsia="en-GB"/>
              </w:rPr>
              <w:t xml:space="preserve"> Paragraph 5.6 refe</w:t>
            </w:r>
            <w:r w:rsidR="00CB2274">
              <w:rPr>
                <w:sz w:val="20"/>
                <w:szCs w:val="20"/>
                <w:lang w:val="en-US" w:eastAsia="en-GB"/>
              </w:rPr>
              <w:t>rring</w:t>
            </w:r>
            <w:r w:rsidR="00BC566F" w:rsidRPr="00B81231">
              <w:rPr>
                <w:sz w:val="20"/>
                <w:szCs w:val="20"/>
                <w:lang w:val="en-US" w:eastAsia="en-GB"/>
              </w:rPr>
              <w:t xml:space="preserve"> </w:t>
            </w:r>
            <w:r w:rsidR="00CB2274">
              <w:rPr>
                <w:sz w:val="20"/>
                <w:szCs w:val="20"/>
                <w:lang w:val="en-US" w:eastAsia="en-GB"/>
              </w:rPr>
              <w:t>to:</w:t>
            </w:r>
          </w:p>
          <w:p w:rsidR="00E13019" w:rsidRPr="00B81231" w:rsidRDefault="00BC566F" w:rsidP="00B81231">
            <w:pPr>
              <w:pStyle w:val="NoSpacing"/>
              <w:rPr>
                <w:lang w:val="en-US" w:eastAsia="nl-NL"/>
              </w:rPr>
            </w:pPr>
            <w:r w:rsidRPr="00B81231">
              <w:rPr>
                <w:sz w:val="20"/>
                <w:szCs w:val="20"/>
                <w:lang w:val="en-US" w:eastAsia="en-GB"/>
              </w:rPr>
              <w:t xml:space="preserve">ISO 5167-1 </w:t>
            </w:r>
            <w:r w:rsidRPr="00B81231">
              <w:rPr>
                <w:sz w:val="20"/>
                <w:lang w:val="en-US"/>
              </w:rPr>
              <w:t>Measurement of fluid flow by means of pressure differential devices inserted in circular cross-section conduits running full -- Part 1: General principles and requirements</w:t>
            </w:r>
            <w:r w:rsidR="00B81231">
              <w:rPr>
                <w:sz w:val="20"/>
                <w:lang w:val="en-US"/>
              </w:rPr>
              <w:t xml:space="preserve"> </w:t>
            </w:r>
            <w:r w:rsidRPr="00B81231">
              <w:rPr>
                <w:sz w:val="20"/>
                <w:lang w:val="en-US" w:eastAsia="en-GB"/>
              </w:rPr>
              <w:t xml:space="preserve">or ISO 9300 </w:t>
            </w:r>
            <w:r w:rsidR="00B81231" w:rsidRPr="00B81231">
              <w:rPr>
                <w:rFonts w:eastAsiaTheme="minorHAnsi"/>
                <w:sz w:val="20"/>
                <w:lang w:val="en-US"/>
              </w:rPr>
              <w:t>Measurement of gas flow by means of</w:t>
            </w:r>
            <w:r w:rsidR="00B81231">
              <w:rPr>
                <w:rFonts w:eastAsiaTheme="minorHAnsi"/>
                <w:sz w:val="20"/>
                <w:lang w:val="en-US"/>
              </w:rPr>
              <w:t xml:space="preserve"> </w:t>
            </w:r>
            <w:r w:rsidR="00B81231" w:rsidRPr="00B81231">
              <w:rPr>
                <w:rFonts w:eastAsiaTheme="minorHAnsi"/>
                <w:sz w:val="20"/>
                <w:lang w:val="en-US"/>
              </w:rPr>
              <w:t xml:space="preserve">critical flow </w:t>
            </w:r>
            <w:proofErr w:type="spellStart"/>
            <w:r w:rsidR="00B81231" w:rsidRPr="00B81231">
              <w:rPr>
                <w:rFonts w:eastAsiaTheme="minorHAnsi"/>
                <w:sz w:val="20"/>
                <w:lang w:val="en-US"/>
              </w:rPr>
              <w:t>Venturi</w:t>
            </w:r>
            <w:proofErr w:type="spellEnd"/>
            <w:r w:rsidR="00B81231" w:rsidRPr="00B81231">
              <w:rPr>
                <w:rFonts w:eastAsiaTheme="minorHAnsi"/>
                <w:sz w:val="20"/>
                <w:lang w:val="en-US"/>
              </w:rPr>
              <w:t xml:space="preserve"> nozzles</w:t>
            </w:r>
          </w:p>
        </w:tc>
        <w:tc>
          <w:tcPr>
            <w:tcW w:w="2376" w:type="dxa"/>
          </w:tcPr>
          <w:p w:rsidR="00E13019" w:rsidRDefault="00E13019" w:rsidP="005557B9">
            <w:pPr>
              <w:spacing w:before="0" w:after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B42FAB" w:rsidRPr="00B66E6B" w:rsidTr="008C03C7">
        <w:trPr>
          <w:trHeight w:val="528"/>
        </w:trPr>
        <w:tc>
          <w:tcPr>
            <w:tcW w:w="2030" w:type="dxa"/>
          </w:tcPr>
          <w:p w:rsidR="00B42FAB" w:rsidRDefault="00B81231" w:rsidP="005557B9">
            <w:pPr>
              <w:spacing w:before="0" w:after="0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O</w:t>
            </w:r>
            <w:r w:rsidRPr="00E13019">
              <w:rPr>
                <w:i/>
                <w:sz w:val="20"/>
                <w:lang w:val="en-US"/>
              </w:rPr>
              <w:t>utlet pressure</w:t>
            </w:r>
          </w:p>
        </w:tc>
        <w:tc>
          <w:tcPr>
            <w:tcW w:w="1339" w:type="dxa"/>
          </w:tcPr>
          <w:p w:rsidR="00B42FAB" w:rsidRDefault="00B42FAB" w:rsidP="005557B9">
            <w:pPr>
              <w:spacing w:before="0" w:after="0"/>
              <w:rPr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3" w:type="dxa"/>
            <w:vAlign w:val="center"/>
          </w:tcPr>
          <w:p w:rsidR="00B42FAB" w:rsidRDefault="00CB2274" w:rsidP="00E13019">
            <w:pPr>
              <w:spacing w:before="0" w:after="0"/>
              <w:jc w:val="left"/>
              <w:rPr>
                <w:color w:val="000000"/>
                <w:sz w:val="20"/>
                <w:szCs w:val="20"/>
                <w:lang w:eastAsia="en-GB"/>
              </w:rPr>
            </w:pPr>
            <w:r w:rsidRPr="00B81231">
              <w:rPr>
                <w:sz w:val="20"/>
                <w:szCs w:val="20"/>
                <w:lang w:val="en-US" w:eastAsia="en-GB"/>
              </w:rPr>
              <w:t>ISO 1217:2009</w:t>
            </w:r>
            <w:r>
              <w:rPr>
                <w:sz w:val="20"/>
                <w:szCs w:val="20"/>
                <w:lang w:val="en-US" w:eastAsia="en-GB"/>
              </w:rPr>
              <w:t xml:space="preserve">, </w:t>
            </w:r>
            <w:r w:rsidRPr="00B81231">
              <w:rPr>
                <w:sz w:val="20"/>
                <w:szCs w:val="20"/>
                <w:lang w:val="en-US" w:eastAsia="en-GB"/>
              </w:rPr>
              <w:t>Displacement compressors - Acceptance tests</w:t>
            </w:r>
            <w:r>
              <w:rPr>
                <w:sz w:val="20"/>
                <w:szCs w:val="20"/>
                <w:lang w:val="en-US" w:eastAsia="en-GB"/>
              </w:rPr>
              <w:t>, Paragraph 5.2</w:t>
            </w:r>
          </w:p>
        </w:tc>
        <w:tc>
          <w:tcPr>
            <w:tcW w:w="2376" w:type="dxa"/>
          </w:tcPr>
          <w:p w:rsidR="00B42FAB" w:rsidRDefault="00B42FAB" w:rsidP="005557B9">
            <w:pPr>
              <w:spacing w:before="0" w:after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92B79" w:rsidRPr="00B66E6B" w:rsidTr="008C03C7">
        <w:trPr>
          <w:trHeight w:val="528"/>
        </w:trPr>
        <w:tc>
          <w:tcPr>
            <w:tcW w:w="2030" w:type="dxa"/>
          </w:tcPr>
          <w:p w:rsidR="00A92B79" w:rsidRPr="001B7AFD" w:rsidRDefault="00A92B79" w:rsidP="0015660B">
            <w:pPr>
              <w:pStyle w:val="NoSpacing"/>
              <w:jc w:val="left"/>
              <w:rPr>
                <w:i/>
                <w:sz w:val="20"/>
                <w:lang w:val="en-US"/>
              </w:rPr>
            </w:pPr>
            <w:r w:rsidRPr="001B7AFD">
              <w:rPr>
                <w:i/>
                <w:sz w:val="20"/>
                <w:lang w:val="en-US"/>
              </w:rPr>
              <w:t xml:space="preserve">Maximum  flow </w:t>
            </w:r>
            <w:r w:rsidR="0015660B">
              <w:rPr>
                <w:i/>
                <w:sz w:val="20"/>
                <w:lang w:val="en-US"/>
              </w:rPr>
              <w:t xml:space="preserve">at full load </w:t>
            </w:r>
            <w:r w:rsidRPr="001B7AFD">
              <w:rPr>
                <w:i/>
                <w:sz w:val="20"/>
                <w:lang w:val="en-US"/>
              </w:rPr>
              <w:t>outlet pressure</w:t>
            </w:r>
          </w:p>
        </w:tc>
        <w:tc>
          <w:tcPr>
            <w:tcW w:w="1339" w:type="dxa"/>
          </w:tcPr>
          <w:p w:rsidR="00A92B79" w:rsidRPr="00910454" w:rsidRDefault="00A92B79" w:rsidP="008E626A">
            <w:pPr>
              <w:pStyle w:val="NoSpacing"/>
              <w:rPr>
                <w:sz w:val="20"/>
                <w:lang w:val="en-US"/>
              </w:rPr>
            </w:pPr>
          </w:p>
        </w:tc>
        <w:tc>
          <w:tcPr>
            <w:tcW w:w="3543" w:type="dxa"/>
            <w:vAlign w:val="center"/>
          </w:tcPr>
          <w:p w:rsidR="00A92B79" w:rsidRPr="00910454" w:rsidRDefault="00CB2274" w:rsidP="008E626A">
            <w:pPr>
              <w:pStyle w:val="NoSpacing"/>
              <w:rPr>
                <w:sz w:val="20"/>
                <w:lang w:val="en-US"/>
              </w:rPr>
            </w:pPr>
            <w:r w:rsidRPr="00B81231">
              <w:rPr>
                <w:sz w:val="20"/>
                <w:szCs w:val="20"/>
                <w:lang w:val="en-US" w:eastAsia="en-GB"/>
              </w:rPr>
              <w:t>ISO 1217:2009</w:t>
            </w:r>
            <w:r>
              <w:rPr>
                <w:sz w:val="20"/>
                <w:szCs w:val="20"/>
                <w:lang w:val="en-US" w:eastAsia="en-GB"/>
              </w:rPr>
              <w:t xml:space="preserve">, </w:t>
            </w:r>
            <w:r w:rsidRPr="00B81231">
              <w:rPr>
                <w:sz w:val="20"/>
                <w:szCs w:val="20"/>
                <w:lang w:val="en-US" w:eastAsia="en-GB"/>
              </w:rPr>
              <w:t>Displacement compressors - Acceptance tests</w:t>
            </w:r>
            <w:r>
              <w:rPr>
                <w:sz w:val="20"/>
                <w:szCs w:val="20"/>
                <w:lang w:val="en-US" w:eastAsia="en-GB"/>
              </w:rPr>
              <w:t>, Paragraph 5.2</w:t>
            </w:r>
          </w:p>
        </w:tc>
        <w:tc>
          <w:tcPr>
            <w:tcW w:w="2376" w:type="dxa"/>
          </w:tcPr>
          <w:p w:rsidR="00A92B79" w:rsidRPr="007735CF" w:rsidRDefault="00A92B79" w:rsidP="007735CF">
            <w:pPr>
              <w:pStyle w:val="NoSpacing"/>
              <w:jc w:val="left"/>
              <w:rPr>
                <w:sz w:val="20"/>
              </w:rPr>
            </w:pPr>
            <w:r w:rsidRPr="001B7AFD">
              <w:rPr>
                <w:sz w:val="20"/>
                <w:lang w:val="en-US"/>
              </w:rPr>
              <w:t xml:space="preserve">Maximum pressure attainable at full flow, usually the unload pressure setting for load/no load control or the maximum pressure attainable before capacity control begins. </w:t>
            </w:r>
            <w:r w:rsidRPr="001B7AFD">
              <w:rPr>
                <w:sz w:val="20"/>
              </w:rPr>
              <w:t>May require additional power.</w:t>
            </w:r>
          </w:p>
        </w:tc>
      </w:tr>
      <w:tr w:rsidR="00A92B79" w:rsidRPr="00B66E6B" w:rsidTr="008C03C7">
        <w:trPr>
          <w:trHeight w:val="528"/>
        </w:trPr>
        <w:tc>
          <w:tcPr>
            <w:tcW w:w="2030" w:type="dxa"/>
          </w:tcPr>
          <w:p w:rsidR="00A92B79" w:rsidRDefault="003C6F58" w:rsidP="003C6F58">
            <w:pPr>
              <w:spacing w:before="0" w:after="0"/>
              <w:jc w:val="left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Drive motor rated output power</w:t>
            </w:r>
          </w:p>
        </w:tc>
        <w:tc>
          <w:tcPr>
            <w:tcW w:w="1339" w:type="dxa"/>
          </w:tcPr>
          <w:p w:rsidR="00A92B79" w:rsidRDefault="00A92B79" w:rsidP="005557B9">
            <w:pPr>
              <w:spacing w:before="0" w:after="0"/>
              <w:rPr>
                <w:bCs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3543" w:type="dxa"/>
            <w:vAlign w:val="center"/>
          </w:tcPr>
          <w:p w:rsidR="00A92B79" w:rsidRPr="00B81231" w:rsidRDefault="003C6F58" w:rsidP="005557B9">
            <w:pPr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  <w:lang w:val="en-US" w:eastAsia="en-GB"/>
              </w:rPr>
            </w:pPr>
            <w:r>
              <w:rPr>
                <w:sz w:val="20"/>
                <w:szCs w:val="20"/>
                <w:lang w:val="en-US" w:eastAsia="en-GB"/>
              </w:rPr>
              <w:t>In accordance with Commission Regulation No 640/2009</w:t>
            </w:r>
          </w:p>
        </w:tc>
        <w:tc>
          <w:tcPr>
            <w:tcW w:w="2376" w:type="dxa"/>
          </w:tcPr>
          <w:p w:rsidR="00A92B79" w:rsidRDefault="00A92B79" w:rsidP="005557B9">
            <w:pPr>
              <w:spacing w:before="0" w:after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92B79" w:rsidRPr="00B66E6B" w:rsidTr="008C03C7">
        <w:trPr>
          <w:trHeight w:val="528"/>
        </w:trPr>
        <w:tc>
          <w:tcPr>
            <w:tcW w:w="2030" w:type="dxa"/>
          </w:tcPr>
          <w:p w:rsidR="00A92B79" w:rsidRDefault="00A92B79" w:rsidP="00F30725">
            <w:pPr>
              <w:spacing w:before="0" w:after="0"/>
              <w:jc w:val="left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Drive motor nominal efficiency</w:t>
            </w:r>
          </w:p>
        </w:tc>
        <w:tc>
          <w:tcPr>
            <w:tcW w:w="1339" w:type="dxa"/>
          </w:tcPr>
          <w:p w:rsidR="00A92B79" w:rsidRDefault="00A92B79" w:rsidP="005557B9">
            <w:pPr>
              <w:spacing w:before="0" w:after="0"/>
              <w:rPr>
                <w:bCs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3543" w:type="dxa"/>
            <w:vAlign w:val="center"/>
          </w:tcPr>
          <w:p w:rsidR="00A92B79" w:rsidRPr="00B81231" w:rsidRDefault="003C6F58" w:rsidP="005557B9">
            <w:pPr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  <w:lang w:val="en-US" w:eastAsia="en-GB"/>
              </w:rPr>
            </w:pPr>
            <w:r>
              <w:rPr>
                <w:sz w:val="20"/>
                <w:szCs w:val="20"/>
                <w:lang w:val="en-US" w:eastAsia="en-GB"/>
              </w:rPr>
              <w:t>In accordance with Commission Regulation No 640/2009</w:t>
            </w:r>
          </w:p>
        </w:tc>
        <w:tc>
          <w:tcPr>
            <w:tcW w:w="2376" w:type="dxa"/>
          </w:tcPr>
          <w:p w:rsidR="00A92B79" w:rsidRDefault="00A92B79" w:rsidP="005557B9">
            <w:pPr>
              <w:spacing w:before="0" w:after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92B79" w:rsidRPr="00B66E6B" w:rsidTr="008C03C7">
        <w:trPr>
          <w:trHeight w:val="528"/>
        </w:trPr>
        <w:tc>
          <w:tcPr>
            <w:tcW w:w="2030" w:type="dxa"/>
          </w:tcPr>
          <w:p w:rsidR="00A92B79" w:rsidRPr="00910454" w:rsidRDefault="003C6F58" w:rsidP="003C6F58">
            <w:pPr>
              <w:spacing w:before="0" w:after="0"/>
              <w:jc w:val="left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 xml:space="preserve">Fan </w:t>
            </w:r>
            <w:r w:rsidR="00A92B79">
              <w:rPr>
                <w:i/>
                <w:sz w:val="20"/>
                <w:lang w:val="en-US"/>
              </w:rPr>
              <w:t xml:space="preserve">motor </w:t>
            </w:r>
            <w:r>
              <w:rPr>
                <w:i/>
                <w:sz w:val="20"/>
                <w:lang w:val="en-US"/>
              </w:rPr>
              <w:t>electric input power</w:t>
            </w:r>
          </w:p>
        </w:tc>
        <w:tc>
          <w:tcPr>
            <w:tcW w:w="1339" w:type="dxa"/>
          </w:tcPr>
          <w:p w:rsidR="00A92B79" w:rsidRDefault="00A92B79" w:rsidP="005557B9">
            <w:pPr>
              <w:spacing w:before="0" w:after="0"/>
              <w:rPr>
                <w:bCs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3543" w:type="dxa"/>
            <w:vAlign w:val="center"/>
          </w:tcPr>
          <w:p w:rsidR="00A92B79" w:rsidRPr="00B81231" w:rsidRDefault="003C6F58" w:rsidP="003C6F58">
            <w:pPr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  <w:lang w:val="en-US" w:eastAsia="en-GB"/>
              </w:rPr>
            </w:pPr>
            <w:r>
              <w:rPr>
                <w:sz w:val="20"/>
                <w:szCs w:val="20"/>
                <w:lang w:val="en-US" w:eastAsia="en-GB"/>
              </w:rPr>
              <w:t>In accordance with Commission Regulation No 327/2011</w:t>
            </w:r>
          </w:p>
        </w:tc>
        <w:tc>
          <w:tcPr>
            <w:tcW w:w="2376" w:type="dxa"/>
          </w:tcPr>
          <w:p w:rsidR="00A92B79" w:rsidRDefault="00A92B79" w:rsidP="005557B9">
            <w:pPr>
              <w:spacing w:before="0" w:after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92B79" w:rsidRPr="00B66E6B" w:rsidTr="008C03C7">
        <w:trPr>
          <w:trHeight w:val="528"/>
        </w:trPr>
        <w:tc>
          <w:tcPr>
            <w:tcW w:w="2030" w:type="dxa"/>
          </w:tcPr>
          <w:p w:rsidR="00A92B79" w:rsidRDefault="00A92B79" w:rsidP="003C6F58">
            <w:pPr>
              <w:spacing w:before="0" w:after="0"/>
              <w:jc w:val="left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 xml:space="preserve">Fan motor </w:t>
            </w:r>
            <w:r w:rsidR="003C6F58">
              <w:rPr>
                <w:i/>
                <w:sz w:val="20"/>
                <w:lang w:val="en-US"/>
              </w:rPr>
              <w:t>overall</w:t>
            </w:r>
            <w:r>
              <w:rPr>
                <w:i/>
                <w:sz w:val="20"/>
                <w:lang w:val="en-US"/>
              </w:rPr>
              <w:t xml:space="preserve"> efficiency</w:t>
            </w:r>
          </w:p>
        </w:tc>
        <w:tc>
          <w:tcPr>
            <w:tcW w:w="1339" w:type="dxa"/>
          </w:tcPr>
          <w:p w:rsidR="00A92B79" w:rsidRDefault="00A92B79" w:rsidP="005557B9">
            <w:pPr>
              <w:spacing w:before="0" w:after="0"/>
              <w:rPr>
                <w:bCs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3543" w:type="dxa"/>
            <w:vAlign w:val="center"/>
          </w:tcPr>
          <w:p w:rsidR="00A92B79" w:rsidRPr="00B81231" w:rsidRDefault="003C6F58" w:rsidP="005557B9">
            <w:pPr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  <w:lang w:val="en-US" w:eastAsia="en-GB"/>
              </w:rPr>
            </w:pPr>
            <w:r>
              <w:rPr>
                <w:sz w:val="20"/>
                <w:szCs w:val="20"/>
                <w:lang w:val="en-US" w:eastAsia="en-GB"/>
              </w:rPr>
              <w:t>In accordance with Commission Regulation No 327/2011</w:t>
            </w:r>
          </w:p>
        </w:tc>
        <w:tc>
          <w:tcPr>
            <w:tcW w:w="2376" w:type="dxa"/>
          </w:tcPr>
          <w:p w:rsidR="00A92B79" w:rsidRDefault="00A92B79" w:rsidP="005557B9">
            <w:pPr>
              <w:spacing w:before="0" w:after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92B79" w:rsidRPr="00B66E6B" w:rsidTr="008C03C7">
        <w:trPr>
          <w:trHeight w:val="528"/>
        </w:trPr>
        <w:tc>
          <w:tcPr>
            <w:tcW w:w="2030" w:type="dxa"/>
          </w:tcPr>
          <w:p w:rsidR="00A92B79" w:rsidRPr="00E13019" w:rsidRDefault="00A92B79" w:rsidP="009E574F">
            <w:pPr>
              <w:spacing w:before="0" w:after="0"/>
              <w:jc w:val="left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lastRenderedPageBreak/>
              <w:t>B</w:t>
            </w:r>
            <w:r w:rsidRPr="00E13019">
              <w:rPr>
                <w:i/>
                <w:sz w:val="20"/>
                <w:lang w:val="en-US"/>
              </w:rPr>
              <w:t>asic package input power</w:t>
            </w:r>
          </w:p>
        </w:tc>
        <w:tc>
          <w:tcPr>
            <w:tcW w:w="1339" w:type="dxa"/>
          </w:tcPr>
          <w:p w:rsidR="00A92B79" w:rsidRPr="00E2307C" w:rsidRDefault="00A92B79" w:rsidP="009E574F">
            <w:pPr>
              <w:spacing w:before="0" w:after="0"/>
              <w:rPr>
                <w:bCs/>
                <w:color w:val="000000"/>
                <w:sz w:val="20"/>
                <w:szCs w:val="20"/>
                <w:lang w:val="en-US" w:eastAsia="en-GB"/>
              </w:rPr>
            </w:pPr>
            <w:r>
              <w:rPr>
                <w:bCs/>
                <w:color w:val="000000"/>
                <w:sz w:val="20"/>
                <w:szCs w:val="20"/>
                <w:lang w:val="en-US" w:eastAsia="en-GB"/>
              </w:rPr>
              <w:t>ISO</w:t>
            </w:r>
          </w:p>
        </w:tc>
        <w:tc>
          <w:tcPr>
            <w:tcW w:w="3543" w:type="dxa"/>
            <w:vAlign w:val="center"/>
          </w:tcPr>
          <w:p w:rsidR="00A92B79" w:rsidRDefault="00A92B79" w:rsidP="009E574F">
            <w:pPr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  <w:lang w:val="en-US" w:eastAsia="en-GB"/>
              </w:rPr>
            </w:pPr>
            <w:r w:rsidRPr="00B81231">
              <w:rPr>
                <w:sz w:val="20"/>
                <w:szCs w:val="20"/>
                <w:lang w:val="en-US" w:eastAsia="en-GB"/>
              </w:rPr>
              <w:t xml:space="preserve">ISO 1217:2009 </w:t>
            </w:r>
          </w:p>
          <w:p w:rsidR="00A92B79" w:rsidRPr="004A62F0" w:rsidRDefault="00A92B79" w:rsidP="009E574F">
            <w:pPr>
              <w:autoSpaceDE w:val="0"/>
              <w:autoSpaceDN w:val="0"/>
              <w:adjustRightInd w:val="0"/>
              <w:spacing w:before="0" w:after="0"/>
              <w:rPr>
                <w:rFonts w:ascii="Arial" w:eastAsiaTheme="minorHAnsi" w:hAnsi="Arial" w:cs="Arial"/>
                <w:color w:val="000000"/>
                <w:sz w:val="20"/>
                <w:szCs w:val="20"/>
                <w:lang w:val="en-US"/>
              </w:rPr>
            </w:pPr>
            <w:r w:rsidRPr="00B81231">
              <w:rPr>
                <w:sz w:val="20"/>
                <w:szCs w:val="20"/>
                <w:lang w:val="en-US" w:eastAsia="en-GB"/>
              </w:rPr>
              <w:t>Displacement compressors - Acceptance tests</w:t>
            </w:r>
            <w:r>
              <w:rPr>
                <w:sz w:val="20"/>
                <w:szCs w:val="20"/>
                <w:lang w:val="en-US" w:eastAsia="en-GB"/>
              </w:rPr>
              <w:t xml:space="preserve"> Paragraph 5.7</w:t>
            </w:r>
          </w:p>
        </w:tc>
        <w:tc>
          <w:tcPr>
            <w:tcW w:w="2376" w:type="dxa"/>
          </w:tcPr>
          <w:p w:rsidR="00A92B79" w:rsidRDefault="00A92B79" w:rsidP="00265024">
            <w:pPr>
              <w:spacing w:before="0" w:after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92B79" w:rsidRPr="00B66E6B" w:rsidTr="008C03C7">
        <w:trPr>
          <w:trHeight w:val="528"/>
        </w:trPr>
        <w:tc>
          <w:tcPr>
            <w:tcW w:w="2030" w:type="dxa"/>
          </w:tcPr>
          <w:p w:rsidR="00A92B79" w:rsidRPr="00E13019" w:rsidRDefault="00A92B79" w:rsidP="001B7AFD">
            <w:pPr>
              <w:spacing w:before="0" w:after="0"/>
              <w:jc w:val="left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B</w:t>
            </w:r>
            <w:r w:rsidRPr="00E13019">
              <w:rPr>
                <w:i/>
                <w:sz w:val="20"/>
                <w:lang w:val="en-US"/>
              </w:rPr>
              <w:t>asic package input power</w:t>
            </w:r>
            <w:r>
              <w:rPr>
                <w:i/>
                <w:sz w:val="20"/>
                <w:lang w:val="en-US"/>
              </w:rPr>
              <w:t xml:space="preserve"> at zero </w:t>
            </w:r>
            <w:r w:rsidR="003C6F58">
              <w:rPr>
                <w:i/>
                <w:sz w:val="20"/>
                <w:lang w:val="en-US"/>
              </w:rPr>
              <w:t xml:space="preserve">volume </w:t>
            </w:r>
            <w:r>
              <w:rPr>
                <w:i/>
                <w:sz w:val="20"/>
                <w:lang w:val="en-US"/>
              </w:rPr>
              <w:t>flow</w:t>
            </w:r>
            <w:r w:rsidR="003C6F58">
              <w:rPr>
                <w:i/>
                <w:sz w:val="20"/>
                <w:lang w:val="en-US"/>
              </w:rPr>
              <w:t xml:space="preserve"> rate</w:t>
            </w:r>
          </w:p>
        </w:tc>
        <w:tc>
          <w:tcPr>
            <w:tcW w:w="1339" w:type="dxa"/>
          </w:tcPr>
          <w:p w:rsidR="00A92B79" w:rsidRPr="00E2307C" w:rsidRDefault="00A92B79" w:rsidP="005557B9">
            <w:pPr>
              <w:spacing w:before="0" w:after="0"/>
              <w:rPr>
                <w:bCs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3543" w:type="dxa"/>
            <w:vAlign w:val="center"/>
          </w:tcPr>
          <w:p w:rsidR="00A92B79" w:rsidRPr="004A62F0" w:rsidRDefault="00A92B79" w:rsidP="00EC2B92">
            <w:pPr>
              <w:autoSpaceDE w:val="0"/>
              <w:autoSpaceDN w:val="0"/>
              <w:adjustRightInd w:val="0"/>
              <w:spacing w:before="0" w:after="0"/>
              <w:rPr>
                <w:rFonts w:ascii="Arial" w:eastAsiaTheme="minorHAnsi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76" w:type="dxa"/>
          </w:tcPr>
          <w:p w:rsidR="00A92B79" w:rsidRDefault="00A92B79" w:rsidP="00A92B79">
            <w:pPr>
              <w:pStyle w:val="NoSpacing"/>
              <w:jc w:val="left"/>
              <w:rPr>
                <w:sz w:val="20"/>
              </w:rPr>
            </w:pPr>
            <w:r w:rsidRPr="00A92B79">
              <w:rPr>
                <w:sz w:val="20"/>
              </w:rPr>
              <w:t>Tolerance is</w:t>
            </w:r>
            <w:r>
              <w:rPr>
                <w:sz w:val="20"/>
              </w:rPr>
              <w:t xml:space="preserve"> specified in ISO 1217, Annex C</w:t>
            </w:r>
            <w:r w:rsidR="003C6F58">
              <w:rPr>
                <w:sz w:val="20"/>
              </w:rPr>
              <w:t>.</w:t>
            </w:r>
          </w:p>
          <w:p w:rsidR="008C03C7" w:rsidRDefault="008C03C7" w:rsidP="00A92B79">
            <w:pPr>
              <w:pStyle w:val="NoSpacing"/>
              <w:jc w:val="left"/>
              <w:rPr>
                <w:sz w:val="20"/>
              </w:rPr>
            </w:pPr>
          </w:p>
          <w:p w:rsidR="003C6F58" w:rsidRPr="003C6F58" w:rsidRDefault="003C6F58" w:rsidP="003C6F58">
            <w:pPr>
              <w:pStyle w:val="NoSpacing"/>
              <w:jc w:val="left"/>
              <w:rPr>
                <w:sz w:val="20"/>
              </w:rPr>
            </w:pPr>
            <w:r>
              <w:rPr>
                <w:sz w:val="20"/>
              </w:rPr>
              <w:t xml:space="preserve">The manufacturer may also measure </w:t>
            </w:r>
            <w:r w:rsidRPr="003C6F58">
              <w:rPr>
                <w:sz w:val="20"/>
              </w:rPr>
              <w:t>at</w:t>
            </w:r>
          </w:p>
          <w:p w:rsidR="003C6F58" w:rsidRDefault="003C6F58" w:rsidP="003C6F58">
            <w:pPr>
              <w:pStyle w:val="NoSpacing"/>
              <w:jc w:val="left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3C6F58">
              <w:rPr>
                <w:sz w:val="20"/>
              </w:rPr>
              <w:t>pressure</w:t>
            </w:r>
            <w:proofErr w:type="gramEnd"/>
            <w:r w:rsidRPr="003C6F58">
              <w:rPr>
                <w:sz w:val="20"/>
              </w:rPr>
              <w:t xml:space="preserve"> ratio of 1</w:t>
            </w:r>
            <w:r w:rsidR="008C03C7">
              <w:rPr>
                <w:sz w:val="20"/>
              </w:rPr>
              <w:t xml:space="preserve">, and </w:t>
            </w:r>
            <w:r w:rsidR="008C03C7" w:rsidRPr="008C03C7">
              <w:rPr>
                <w:sz w:val="20"/>
              </w:rPr>
              <w:t>shall state the method used.</w:t>
            </w:r>
          </w:p>
        </w:tc>
      </w:tr>
      <w:tr w:rsidR="00A92B79" w:rsidRPr="00B66E6B" w:rsidTr="008C03C7">
        <w:trPr>
          <w:trHeight w:val="528"/>
        </w:trPr>
        <w:tc>
          <w:tcPr>
            <w:tcW w:w="2030" w:type="dxa"/>
          </w:tcPr>
          <w:p w:rsidR="00A92B79" w:rsidRPr="00A92B79" w:rsidRDefault="00A92B79" w:rsidP="00C11888">
            <w:pPr>
              <w:pStyle w:val="NoSpacing"/>
              <w:jc w:val="left"/>
              <w:rPr>
                <w:i/>
                <w:sz w:val="20"/>
                <w:lang w:val="en-US"/>
              </w:rPr>
            </w:pPr>
            <w:r w:rsidRPr="00A92B79">
              <w:rPr>
                <w:i/>
                <w:sz w:val="20"/>
                <w:lang w:val="en-US"/>
              </w:rPr>
              <w:t>Basic package input power at full load outlet pressure</w:t>
            </w:r>
          </w:p>
        </w:tc>
        <w:tc>
          <w:tcPr>
            <w:tcW w:w="1339" w:type="dxa"/>
          </w:tcPr>
          <w:p w:rsidR="00A92B79" w:rsidRDefault="00A92B79" w:rsidP="00C11888">
            <w:pPr>
              <w:spacing w:before="0" w:after="0"/>
              <w:jc w:val="left"/>
              <w:rPr>
                <w:i/>
                <w:sz w:val="20"/>
                <w:lang w:val="en-US"/>
              </w:rPr>
            </w:pPr>
          </w:p>
        </w:tc>
        <w:tc>
          <w:tcPr>
            <w:tcW w:w="3543" w:type="dxa"/>
            <w:vAlign w:val="center"/>
          </w:tcPr>
          <w:p w:rsidR="00A92B79" w:rsidRPr="00910454" w:rsidRDefault="00A92B79" w:rsidP="00C11888">
            <w:pPr>
              <w:pStyle w:val="NoSpacing"/>
              <w:rPr>
                <w:sz w:val="20"/>
                <w:lang w:val="en-US"/>
              </w:rPr>
            </w:pPr>
          </w:p>
        </w:tc>
        <w:tc>
          <w:tcPr>
            <w:tcW w:w="2376" w:type="dxa"/>
          </w:tcPr>
          <w:p w:rsidR="00A92B79" w:rsidRPr="00A92B79" w:rsidRDefault="00A92B79" w:rsidP="00C11888">
            <w:pPr>
              <w:pStyle w:val="NoSpacing"/>
              <w:rPr>
                <w:sz w:val="20"/>
                <w:lang w:val="en-US"/>
              </w:rPr>
            </w:pPr>
            <w:r w:rsidRPr="00A92B79">
              <w:rPr>
                <w:sz w:val="20"/>
                <w:lang w:val="en-US"/>
              </w:rPr>
              <w:t xml:space="preserve">Total package input power at other than reported operating points will vary with control strategy. For variable speed products the basic package input power and capacity should be stated for a volume flow of 100%, 70% and 40% of the volume flow </w:t>
            </w:r>
            <w:r w:rsidR="005312E0">
              <w:rPr>
                <w:sz w:val="20"/>
                <w:lang w:val="en-US"/>
              </w:rPr>
              <w:t xml:space="preserve">rate </w:t>
            </w:r>
            <w:r w:rsidRPr="00A92B79">
              <w:rPr>
                <w:sz w:val="20"/>
                <w:lang w:val="en-US"/>
              </w:rPr>
              <w:t xml:space="preserve">at full load </w:t>
            </w:r>
            <w:r w:rsidR="005312E0">
              <w:rPr>
                <w:sz w:val="20"/>
                <w:lang w:val="en-US"/>
              </w:rPr>
              <w:t>outlet</w:t>
            </w:r>
            <w:r w:rsidRPr="00A92B79">
              <w:rPr>
                <w:sz w:val="20"/>
                <w:lang w:val="en-US"/>
              </w:rPr>
              <w:t xml:space="preserve"> pressure</w:t>
            </w:r>
          </w:p>
          <w:p w:rsidR="00A92B79" w:rsidRPr="00A92B79" w:rsidRDefault="00A92B79" w:rsidP="00C11888">
            <w:pPr>
              <w:spacing w:before="0" w:after="0"/>
              <w:rPr>
                <w:b/>
                <w:bCs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A92B79" w:rsidRPr="00B66E6B" w:rsidTr="008C03C7">
        <w:trPr>
          <w:trHeight w:val="616"/>
        </w:trPr>
        <w:tc>
          <w:tcPr>
            <w:tcW w:w="2030" w:type="dxa"/>
          </w:tcPr>
          <w:p w:rsidR="00A92B79" w:rsidRPr="00910454" w:rsidRDefault="00A92B79" w:rsidP="00E2307C">
            <w:pPr>
              <w:spacing w:before="0" w:after="0"/>
              <w:jc w:val="left"/>
              <w:rPr>
                <w:i/>
                <w:sz w:val="20"/>
                <w:lang w:val="en-US"/>
              </w:rPr>
            </w:pPr>
            <w:r w:rsidRPr="00910454">
              <w:rPr>
                <w:i/>
                <w:sz w:val="20"/>
                <w:lang w:val="en-US"/>
              </w:rPr>
              <w:t xml:space="preserve">Emitted sound pressure level </w:t>
            </w:r>
          </w:p>
        </w:tc>
        <w:tc>
          <w:tcPr>
            <w:tcW w:w="1339" w:type="dxa"/>
          </w:tcPr>
          <w:p w:rsidR="00A92B79" w:rsidRPr="00910454" w:rsidRDefault="00A92B79" w:rsidP="00910454">
            <w:pPr>
              <w:pStyle w:val="NoSpacing"/>
              <w:rPr>
                <w:bCs/>
                <w:color w:val="000000"/>
                <w:sz w:val="20"/>
                <w:szCs w:val="20"/>
                <w:lang w:eastAsia="en-GB"/>
              </w:rPr>
            </w:pPr>
            <w:r w:rsidRPr="00910454">
              <w:rPr>
                <w:sz w:val="20"/>
                <w:lang w:val="en-US"/>
              </w:rPr>
              <w:t>DIN EN ISO</w:t>
            </w:r>
          </w:p>
        </w:tc>
        <w:tc>
          <w:tcPr>
            <w:tcW w:w="3543" w:type="dxa"/>
            <w:vAlign w:val="center"/>
          </w:tcPr>
          <w:p w:rsidR="00A92B79" w:rsidRDefault="00A92B79" w:rsidP="00910454">
            <w:pPr>
              <w:pStyle w:val="NoSpacing"/>
              <w:rPr>
                <w:sz w:val="20"/>
                <w:lang w:val="en-US"/>
              </w:rPr>
            </w:pPr>
            <w:r w:rsidRPr="00910454">
              <w:rPr>
                <w:sz w:val="20"/>
                <w:lang w:val="en-US"/>
              </w:rPr>
              <w:t>DIN EN ISO 2151:2009</w:t>
            </w:r>
          </w:p>
          <w:p w:rsidR="00A92B79" w:rsidRPr="00910454" w:rsidRDefault="00A92B79" w:rsidP="00910454">
            <w:pPr>
              <w:pStyle w:val="NoSpacing"/>
              <w:rPr>
                <w:sz w:val="20"/>
                <w:lang w:val="en-US" w:eastAsia="nl-NL"/>
              </w:rPr>
            </w:pPr>
            <w:r w:rsidRPr="00910454">
              <w:rPr>
                <w:sz w:val="20"/>
                <w:lang w:val="en-US" w:eastAsia="nl-NL"/>
              </w:rPr>
              <w:t xml:space="preserve">Acoustics - Noise test code for compressors and vacuum pumps - Engineering method (grade 2) </w:t>
            </w:r>
          </w:p>
          <w:p w:rsidR="00A92B79" w:rsidRPr="00910454" w:rsidRDefault="00A92B79" w:rsidP="00910454">
            <w:pPr>
              <w:pStyle w:val="NoSpacing"/>
              <w:rPr>
                <w:rFonts w:ascii="Arial" w:eastAsiaTheme="minorHAnsi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76" w:type="dxa"/>
          </w:tcPr>
          <w:p w:rsidR="00A92B79" w:rsidRDefault="00A92B79" w:rsidP="005557B9">
            <w:pPr>
              <w:spacing w:before="0" w:after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CC1AE0" w:rsidRDefault="008A7BB9"/>
    <w:p w:rsidR="008C03C7" w:rsidRDefault="008C03C7"/>
    <w:p w:rsidR="008C03C7" w:rsidRDefault="008C03C7"/>
    <w:sectPr w:rsidR="008C0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74C" w:rsidRDefault="0006374C" w:rsidP="004A62F0">
      <w:pPr>
        <w:spacing w:before="0" w:after="0"/>
      </w:pPr>
      <w:r>
        <w:separator/>
      </w:r>
    </w:p>
  </w:endnote>
  <w:endnote w:type="continuationSeparator" w:id="0">
    <w:p w:rsidR="0006374C" w:rsidRDefault="0006374C" w:rsidP="004A62F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74C" w:rsidRDefault="0006374C" w:rsidP="004A62F0">
      <w:pPr>
        <w:spacing w:before="0" w:after="0"/>
      </w:pPr>
      <w:r>
        <w:separator/>
      </w:r>
    </w:p>
  </w:footnote>
  <w:footnote w:type="continuationSeparator" w:id="0">
    <w:p w:rsidR="0006374C" w:rsidRDefault="0006374C" w:rsidP="004A62F0">
      <w:pPr>
        <w:spacing w:before="0" w:after="0"/>
      </w:pPr>
      <w:r>
        <w:continuationSeparator/>
      </w:r>
    </w:p>
  </w:footnote>
  <w:footnote w:id="1">
    <w:p w:rsidR="004A62F0" w:rsidRPr="0054573D" w:rsidRDefault="004A62F0" w:rsidP="004A62F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025AE">
        <w:t>These transitory measurement methods are meant to be replaced by harmonised standard(s)</w:t>
      </w:r>
      <w:r>
        <w:t>. When available, the reference(s) of harmonised</w:t>
      </w:r>
      <w:r w:rsidRPr="004025AE">
        <w:t xml:space="preserve"> </w:t>
      </w:r>
      <w:r>
        <w:t>standard(s) will be published in the Official Journal of the European Union in accordance with Articles 9 and 10 of Directive 2005/32/EC.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AA7"/>
    <w:multiLevelType w:val="hybridMultilevel"/>
    <w:tmpl w:val="826005B2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419C2"/>
    <w:multiLevelType w:val="hybridMultilevel"/>
    <w:tmpl w:val="3F36606A"/>
    <w:lvl w:ilvl="0" w:tplc="46CC56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4A62F0"/>
    <w:rsid w:val="0006374C"/>
    <w:rsid w:val="0015660B"/>
    <w:rsid w:val="001B7AFD"/>
    <w:rsid w:val="002D657E"/>
    <w:rsid w:val="003C6F58"/>
    <w:rsid w:val="004A62F0"/>
    <w:rsid w:val="005312E0"/>
    <w:rsid w:val="007735CF"/>
    <w:rsid w:val="00806383"/>
    <w:rsid w:val="008A7BB9"/>
    <w:rsid w:val="008C03C7"/>
    <w:rsid w:val="00910454"/>
    <w:rsid w:val="00A2718D"/>
    <w:rsid w:val="00A61D18"/>
    <w:rsid w:val="00A92B79"/>
    <w:rsid w:val="00AE4D41"/>
    <w:rsid w:val="00B42FAB"/>
    <w:rsid w:val="00B81231"/>
    <w:rsid w:val="00BC566F"/>
    <w:rsid w:val="00CB2274"/>
    <w:rsid w:val="00D66792"/>
    <w:rsid w:val="00E13019"/>
    <w:rsid w:val="00E2307C"/>
    <w:rsid w:val="00EC2B92"/>
    <w:rsid w:val="00F05BBF"/>
    <w:rsid w:val="00FB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2F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link w:val="Heading2Char"/>
    <w:uiPriority w:val="9"/>
    <w:qFormat/>
    <w:rsid w:val="00BC566F"/>
    <w:pPr>
      <w:spacing w:before="100" w:beforeAutospacing="1" w:after="100" w:afterAutospacing="1"/>
      <w:jc w:val="left"/>
      <w:outlineLvl w:val="1"/>
    </w:pPr>
    <w:rPr>
      <w:b/>
      <w:bCs/>
      <w:sz w:val="36"/>
      <w:szCs w:val="36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A62F0"/>
    <w:pPr>
      <w:spacing w:after="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62F0"/>
    <w:rPr>
      <w:rFonts w:ascii="Times New Roman" w:eastAsia="Times New Roman" w:hAnsi="Times New Roman" w:cs="Times New Roman"/>
      <w:sz w:val="18"/>
      <w:szCs w:val="24"/>
      <w:lang w:val="en-GB"/>
    </w:rPr>
  </w:style>
  <w:style w:type="character" w:styleId="FootnoteReference">
    <w:name w:val="footnote reference"/>
    <w:basedOn w:val="DefaultParagraphFont"/>
    <w:uiPriority w:val="99"/>
    <w:rsid w:val="004A62F0"/>
    <w:rPr>
      <w:vertAlign w:val="superscript"/>
    </w:rPr>
  </w:style>
  <w:style w:type="paragraph" w:customStyle="1" w:styleId="Point0">
    <w:name w:val="Point 0"/>
    <w:basedOn w:val="Normal"/>
    <w:rsid w:val="004A62F0"/>
    <w:pPr>
      <w:ind w:left="850" w:hanging="850"/>
    </w:pPr>
  </w:style>
  <w:style w:type="paragraph" w:customStyle="1" w:styleId="Prliminairetype">
    <w:name w:val="Préliminaire type"/>
    <w:basedOn w:val="Normal"/>
    <w:next w:val="Normal"/>
    <w:rsid w:val="004A62F0"/>
    <w:pPr>
      <w:spacing w:before="360" w:after="0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2F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2F0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C566F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Spacing">
    <w:name w:val="No Spacing"/>
    <w:uiPriority w:val="1"/>
    <w:qFormat/>
    <w:rsid w:val="00B812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230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0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07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0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07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B7AFD"/>
    <w:pPr>
      <w:jc w:val="left"/>
    </w:pPr>
    <w:rPr>
      <w:rFonts w:ascii="Cambria" w:eastAsiaTheme="minorHAnsi" w:hAnsi="Cambria" w:cstheme="minorBidi"/>
      <w:sz w:val="22"/>
      <w:szCs w:val="22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2F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link w:val="Heading2Char"/>
    <w:uiPriority w:val="9"/>
    <w:qFormat/>
    <w:rsid w:val="00BC566F"/>
    <w:pPr>
      <w:spacing w:before="100" w:beforeAutospacing="1" w:after="100" w:afterAutospacing="1"/>
      <w:jc w:val="left"/>
      <w:outlineLvl w:val="1"/>
    </w:pPr>
    <w:rPr>
      <w:b/>
      <w:bCs/>
      <w:sz w:val="36"/>
      <w:szCs w:val="36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A62F0"/>
    <w:pPr>
      <w:spacing w:after="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62F0"/>
    <w:rPr>
      <w:rFonts w:ascii="Times New Roman" w:eastAsia="Times New Roman" w:hAnsi="Times New Roman" w:cs="Times New Roman"/>
      <w:sz w:val="18"/>
      <w:szCs w:val="24"/>
      <w:lang w:val="en-GB"/>
    </w:rPr>
  </w:style>
  <w:style w:type="character" w:styleId="FootnoteReference">
    <w:name w:val="footnote reference"/>
    <w:basedOn w:val="DefaultParagraphFont"/>
    <w:uiPriority w:val="99"/>
    <w:rsid w:val="004A62F0"/>
    <w:rPr>
      <w:vertAlign w:val="superscript"/>
    </w:rPr>
  </w:style>
  <w:style w:type="paragraph" w:customStyle="1" w:styleId="Point0">
    <w:name w:val="Point 0"/>
    <w:basedOn w:val="Normal"/>
    <w:rsid w:val="004A62F0"/>
    <w:pPr>
      <w:ind w:left="850" w:hanging="850"/>
    </w:pPr>
  </w:style>
  <w:style w:type="paragraph" w:customStyle="1" w:styleId="Prliminairetype">
    <w:name w:val="Préliminaire type"/>
    <w:basedOn w:val="Normal"/>
    <w:next w:val="Normal"/>
    <w:rsid w:val="004A62F0"/>
    <w:pPr>
      <w:spacing w:before="360" w:after="0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2F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2F0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C566F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Spacing">
    <w:name w:val="No Spacing"/>
    <w:uiPriority w:val="1"/>
    <w:qFormat/>
    <w:rsid w:val="00B812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230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0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07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0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07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B7AFD"/>
    <w:pPr>
      <w:jc w:val="left"/>
    </w:pPr>
    <w:rPr>
      <w:rFonts w:ascii="Cambria" w:eastAsiaTheme="minorHAnsi" w:hAnsi="Cambria" w:cstheme="minorBidi"/>
      <w:sz w:val="22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van den Boorn</dc:creator>
  <cp:lastModifiedBy>GONZALEZ HERRAIZ Santiago (ENER)</cp:lastModifiedBy>
  <cp:revision>9</cp:revision>
  <dcterms:created xsi:type="dcterms:W3CDTF">2014-08-13T08:10:00Z</dcterms:created>
  <dcterms:modified xsi:type="dcterms:W3CDTF">2014-09-03T16:02:00Z</dcterms:modified>
</cp:coreProperties>
</file>